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FE4" w:rsidRPr="002B49B0" w:rsidRDefault="000B402E" w:rsidP="0001361C">
      <w:pPr>
        <w:pStyle w:val="Title"/>
        <w:rPr>
          <w:rFonts w:ascii="Bryant Pro Regular" w:hAnsi="Bryant Pro Regular"/>
        </w:rPr>
      </w:pPr>
      <w:r w:rsidRPr="002B49B0">
        <w:rPr>
          <w:rFonts w:ascii="Bryant Pro Regular" w:hAnsi="Bryant Pro Regular"/>
        </w:rPr>
        <w:t>NZX Appendix 1</w:t>
      </w:r>
    </w:p>
    <w:p w:rsidR="000B402E" w:rsidRPr="002B49B0" w:rsidRDefault="000B402E" w:rsidP="000B402E">
      <w:pPr>
        <w:pStyle w:val="Title"/>
        <w:rPr>
          <w:rFonts w:ascii="Bryant Pro Regular" w:hAnsi="Bryant Pro Regular"/>
        </w:rPr>
      </w:pPr>
      <w:r w:rsidRPr="002B49B0">
        <w:rPr>
          <w:rFonts w:ascii="Bryant Pro Regular" w:hAnsi="Bryant Pro Regular"/>
        </w:rPr>
        <w:t xml:space="preserve">Synlait milk limited </w:t>
      </w:r>
      <w:r w:rsidR="00B05EA3" w:rsidRPr="002B49B0">
        <w:rPr>
          <w:rFonts w:ascii="Bryant Pro Regular" w:hAnsi="Bryant Pro Regular"/>
        </w:rPr>
        <w:t>Half year</w:t>
      </w:r>
      <w:r w:rsidRPr="002B49B0">
        <w:rPr>
          <w:rFonts w:ascii="Bryant Pro Regular" w:hAnsi="Bryant Pro Regular"/>
        </w:rPr>
        <w:t xml:space="preserve"> results</w:t>
      </w:r>
    </w:p>
    <w:p w:rsidR="009E767D" w:rsidRPr="002B49B0" w:rsidRDefault="000B402E" w:rsidP="0001361C">
      <w:pPr>
        <w:pStyle w:val="Subtitle"/>
        <w:rPr>
          <w:rFonts w:ascii="Bryant Pro Regular" w:hAnsi="Bryant Pro Regular"/>
        </w:rPr>
      </w:pPr>
      <w:r w:rsidRPr="002B49B0">
        <w:rPr>
          <w:rFonts w:ascii="Bryant Pro Regular" w:hAnsi="Bryant Pro Regular"/>
        </w:rPr>
        <w:t xml:space="preserve">for the </w:t>
      </w:r>
      <w:r w:rsidR="00B05EA3" w:rsidRPr="002B49B0">
        <w:rPr>
          <w:rFonts w:ascii="Bryant Pro Regular" w:hAnsi="Bryant Pro Regular"/>
        </w:rPr>
        <w:t>six months</w:t>
      </w:r>
      <w:r w:rsidRPr="002B49B0">
        <w:rPr>
          <w:rFonts w:ascii="Bryant Pro Regular" w:hAnsi="Bryant Pro Regular"/>
        </w:rPr>
        <w:t xml:space="preserve"> ending 31 J</w:t>
      </w:r>
      <w:r w:rsidR="00B05EA3" w:rsidRPr="002B49B0">
        <w:rPr>
          <w:rFonts w:ascii="Bryant Pro Regular" w:hAnsi="Bryant Pro Regular"/>
        </w:rPr>
        <w:t>anuary 2017</w:t>
      </w:r>
    </w:p>
    <w:p w:rsidR="000B402E" w:rsidRPr="002B49B0" w:rsidRDefault="000B402E" w:rsidP="000B402E">
      <w:pPr>
        <w:overflowPunct w:val="0"/>
        <w:autoSpaceDE w:val="0"/>
        <w:autoSpaceDN w:val="0"/>
        <w:adjustRightInd w:val="0"/>
        <w:spacing w:before="0" w:after="0" w:line="240" w:lineRule="auto"/>
        <w:ind w:left="851" w:hanging="851"/>
        <w:jc w:val="both"/>
        <w:textAlignment w:val="baseline"/>
        <w:rPr>
          <w:rFonts w:ascii="Bryant Pro Regular" w:eastAsia="Times New Roman" w:hAnsi="Bryant Pro Regular" w:cs="Arial"/>
          <w:color w:val="5BC6E8" w:themeColor="accent1"/>
          <w:szCs w:val="20"/>
        </w:rPr>
      </w:pPr>
    </w:p>
    <w:p w:rsidR="000B402E" w:rsidRPr="002B49B0" w:rsidRDefault="000B402E" w:rsidP="000B402E">
      <w:pPr>
        <w:overflowPunct w:val="0"/>
        <w:autoSpaceDE w:val="0"/>
        <w:autoSpaceDN w:val="0"/>
        <w:adjustRightInd w:val="0"/>
        <w:spacing w:before="0" w:after="0" w:line="240" w:lineRule="auto"/>
        <w:ind w:left="851" w:hanging="851"/>
        <w:jc w:val="both"/>
        <w:textAlignment w:val="baseline"/>
        <w:rPr>
          <w:rFonts w:ascii="Bryant Pro Regular" w:eastAsia="Times New Roman" w:hAnsi="Bryant Pro Regular" w:cs="Arial"/>
          <w:color w:val="5BC6E8" w:themeColor="accent1"/>
          <w:szCs w:val="20"/>
        </w:rPr>
      </w:pPr>
    </w:p>
    <w:p w:rsidR="000B402E" w:rsidRPr="002B49B0" w:rsidRDefault="000B402E" w:rsidP="000B402E">
      <w:pPr>
        <w:overflowPunct w:val="0"/>
        <w:autoSpaceDE w:val="0"/>
        <w:autoSpaceDN w:val="0"/>
        <w:adjustRightInd w:val="0"/>
        <w:spacing w:before="0" w:after="0" w:line="240" w:lineRule="auto"/>
        <w:ind w:left="851" w:hanging="851"/>
        <w:jc w:val="both"/>
        <w:textAlignment w:val="baseline"/>
        <w:rPr>
          <w:rFonts w:ascii="Bryant Pro Regular" w:eastAsia="Times New Roman" w:hAnsi="Bryant Pro Regular" w:cs="Arial"/>
          <w:szCs w:val="20"/>
        </w:rPr>
      </w:pPr>
      <w:r w:rsidRPr="002B49B0">
        <w:rPr>
          <w:rFonts w:ascii="Bryant Pro Regular" w:eastAsia="Times New Roman" w:hAnsi="Bryant Pro Regular" w:cs="Arial"/>
          <w:b/>
          <w:color w:val="5BC6E8" w:themeColor="accent1"/>
          <w:szCs w:val="20"/>
        </w:rPr>
        <w:t>Reporting Period:</w:t>
      </w:r>
      <w:r w:rsidRPr="002B49B0">
        <w:rPr>
          <w:rFonts w:ascii="Bryant Pro Regular" w:eastAsia="Times New Roman" w:hAnsi="Bryant Pro Regular" w:cs="Arial"/>
          <w:szCs w:val="20"/>
        </w:rPr>
        <w:tab/>
      </w:r>
      <w:r w:rsidRPr="002B49B0">
        <w:rPr>
          <w:rFonts w:ascii="Bryant Pro Regular" w:eastAsia="Times New Roman" w:hAnsi="Bryant Pro Regular" w:cs="Arial"/>
          <w:szCs w:val="20"/>
        </w:rPr>
        <w:tab/>
      </w:r>
      <w:r w:rsidR="00B05EA3" w:rsidRPr="002B49B0">
        <w:rPr>
          <w:rFonts w:ascii="Bryant Pro Regular" w:eastAsia="Times New Roman" w:hAnsi="Bryant Pro Regular" w:cs="Arial"/>
          <w:szCs w:val="20"/>
        </w:rPr>
        <w:t>6</w:t>
      </w:r>
      <w:r w:rsidRPr="002B49B0">
        <w:rPr>
          <w:rFonts w:ascii="Bryant Pro Regular" w:eastAsia="Times New Roman" w:hAnsi="Bryant Pro Regular" w:cs="Arial"/>
          <w:color w:val="323334" w:themeColor="accent6" w:themeShade="40"/>
          <w:szCs w:val="20"/>
        </w:rPr>
        <w:t xml:space="preserve"> months to 31 </w:t>
      </w:r>
      <w:r w:rsidR="00B05EA3" w:rsidRPr="002B49B0">
        <w:rPr>
          <w:rFonts w:ascii="Bryant Pro Regular" w:eastAsia="Times New Roman" w:hAnsi="Bryant Pro Regular" w:cs="Arial"/>
          <w:color w:val="323334" w:themeColor="accent6" w:themeShade="40"/>
          <w:szCs w:val="20"/>
        </w:rPr>
        <w:t>January 2017</w:t>
      </w:r>
    </w:p>
    <w:p w:rsidR="000B402E" w:rsidRPr="002B49B0" w:rsidRDefault="000B402E" w:rsidP="000B402E">
      <w:pPr>
        <w:overflowPunct w:val="0"/>
        <w:autoSpaceDE w:val="0"/>
        <w:autoSpaceDN w:val="0"/>
        <w:adjustRightInd w:val="0"/>
        <w:spacing w:before="0" w:after="0" w:line="240" w:lineRule="auto"/>
        <w:jc w:val="both"/>
        <w:textAlignment w:val="baseline"/>
        <w:rPr>
          <w:rFonts w:ascii="Bryant Pro Regular" w:eastAsia="Times New Roman" w:hAnsi="Bryant Pro Regular" w:cs="Arial"/>
          <w:szCs w:val="20"/>
        </w:rPr>
      </w:pPr>
      <w:r w:rsidRPr="002B49B0">
        <w:rPr>
          <w:rFonts w:ascii="Bryant Pro Regular" w:eastAsia="Times New Roman" w:hAnsi="Bryant Pro Regular" w:cs="Arial"/>
          <w:b/>
          <w:color w:val="5BC6E8" w:themeColor="accent1"/>
          <w:szCs w:val="20"/>
        </w:rPr>
        <w:t>Previous Reporting Period:</w:t>
      </w:r>
      <w:r w:rsidRPr="002B49B0">
        <w:rPr>
          <w:rFonts w:ascii="Bryant Pro Regular" w:eastAsia="Times New Roman" w:hAnsi="Bryant Pro Regular" w:cs="Arial"/>
          <w:szCs w:val="20"/>
        </w:rPr>
        <w:tab/>
      </w:r>
      <w:r w:rsidR="00B05EA3" w:rsidRPr="002B49B0">
        <w:rPr>
          <w:rFonts w:ascii="Bryant Pro Regular" w:eastAsia="Times New Roman" w:hAnsi="Bryant Pro Regular" w:cs="Arial"/>
          <w:szCs w:val="20"/>
        </w:rPr>
        <w:t>6</w:t>
      </w:r>
      <w:r w:rsidR="00B05EA3" w:rsidRPr="002B49B0">
        <w:rPr>
          <w:rFonts w:ascii="Bryant Pro Regular" w:eastAsia="Times New Roman" w:hAnsi="Bryant Pro Regular" w:cs="Arial"/>
          <w:color w:val="323334" w:themeColor="accent6" w:themeShade="40"/>
          <w:szCs w:val="20"/>
        </w:rPr>
        <w:t xml:space="preserve"> months to 31 January 2016</w:t>
      </w:r>
    </w:p>
    <w:p w:rsidR="000B402E" w:rsidRPr="002B49B0" w:rsidRDefault="000B402E" w:rsidP="000B402E">
      <w:pPr>
        <w:overflowPunct w:val="0"/>
        <w:autoSpaceDE w:val="0"/>
        <w:autoSpaceDN w:val="0"/>
        <w:adjustRightInd w:val="0"/>
        <w:spacing w:before="0" w:after="0" w:line="240" w:lineRule="auto"/>
        <w:jc w:val="both"/>
        <w:textAlignment w:val="baseline"/>
        <w:rPr>
          <w:rFonts w:ascii="Bryant Pro Regular" w:eastAsia="Times New Roman" w:hAnsi="Bryant Pro Regular" w:cs="Arial"/>
          <w:szCs w:val="20"/>
        </w:rPr>
      </w:pPr>
    </w:p>
    <w:p w:rsidR="000B402E" w:rsidRPr="002B49B0" w:rsidRDefault="00F870B2" w:rsidP="000B402E">
      <w:pPr>
        <w:overflowPunct w:val="0"/>
        <w:autoSpaceDE w:val="0"/>
        <w:autoSpaceDN w:val="0"/>
        <w:adjustRightInd w:val="0"/>
        <w:spacing w:before="0" w:after="0" w:line="240" w:lineRule="auto"/>
        <w:jc w:val="both"/>
        <w:textAlignment w:val="baseline"/>
        <w:rPr>
          <w:rFonts w:ascii="Bryant Pro Regular" w:eastAsia="Times New Roman" w:hAnsi="Bryant Pro Regular" w:cs="Arial"/>
          <w:b/>
          <w:color w:val="5BC6E8" w:themeColor="accent1"/>
          <w:szCs w:val="20"/>
        </w:rPr>
      </w:pPr>
      <w:r w:rsidRPr="002B49B0">
        <w:rPr>
          <w:rFonts w:ascii="Bryant Pro Regular" w:eastAsia="Times New Roman" w:hAnsi="Bryant Pro Regular" w:cs="Arial"/>
          <w:b/>
          <w:color w:val="5BC6E8" w:themeColor="accent1"/>
          <w:szCs w:val="20"/>
        </w:rPr>
        <w:t>Results for announcement to the market:</w:t>
      </w:r>
    </w:p>
    <w:p w:rsidR="00F870B2" w:rsidRPr="002B49B0" w:rsidRDefault="00F870B2" w:rsidP="000B402E">
      <w:pPr>
        <w:overflowPunct w:val="0"/>
        <w:autoSpaceDE w:val="0"/>
        <w:autoSpaceDN w:val="0"/>
        <w:adjustRightInd w:val="0"/>
        <w:spacing w:before="0" w:after="0" w:line="240" w:lineRule="auto"/>
        <w:jc w:val="both"/>
        <w:textAlignment w:val="baseline"/>
        <w:rPr>
          <w:rFonts w:ascii="Bryant Pro Regular" w:eastAsia="Times New Roman" w:hAnsi="Bryant Pro Regular" w:cs="Arial"/>
          <w:szCs w:val="20"/>
        </w:rPr>
      </w:pPr>
    </w:p>
    <w:tbl>
      <w:tblPr>
        <w:tblStyle w:val="LightList-Accent1"/>
        <w:tblW w:w="0" w:type="auto"/>
        <w:tblInd w:w="108" w:type="dxa"/>
        <w:tblLook w:val="04A0" w:firstRow="1" w:lastRow="0" w:firstColumn="1" w:lastColumn="0" w:noHBand="0" w:noVBand="1"/>
      </w:tblPr>
      <w:tblGrid>
        <w:gridCol w:w="4463"/>
        <w:gridCol w:w="1940"/>
        <w:gridCol w:w="2102"/>
      </w:tblGrid>
      <w:tr w:rsidR="000B402E" w:rsidRPr="002B49B0" w:rsidTr="00F870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3" w:type="dxa"/>
          </w:tcPr>
          <w:p w:rsidR="000B402E" w:rsidRPr="002B49B0" w:rsidRDefault="000B402E" w:rsidP="000B402E">
            <w:pPr>
              <w:overflowPunct w:val="0"/>
              <w:autoSpaceDE w:val="0"/>
              <w:autoSpaceDN w:val="0"/>
              <w:adjustRightInd w:val="0"/>
              <w:spacing w:before="0" w:after="0"/>
              <w:jc w:val="both"/>
              <w:textAlignment w:val="baseline"/>
              <w:rPr>
                <w:rFonts w:ascii="Bryant Pro Regular" w:eastAsia="Times New Roman" w:hAnsi="Bryant Pro Regular" w:cs="Arial"/>
                <w:szCs w:val="20"/>
              </w:rPr>
            </w:pPr>
          </w:p>
        </w:tc>
        <w:tc>
          <w:tcPr>
            <w:tcW w:w="1940" w:type="dxa"/>
          </w:tcPr>
          <w:p w:rsidR="000B402E" w:rsidRPr="002B49B0" w:rsidRDefault="000B402E" w:rsidP="000B402E">
            <w:pPr>
              <w:overflowPunct w:val="0"/>
              <w:autoSpaceDE w:val="0"/>
              <w:autoSpaceDN w:val="0"/>
              <w:adjustRightInd w:val="0"/>
              <w:spacing w:before="0" w:after="0"/>
              <w:ind w:hanging="851"/>
              <w:jc w:val="right"/>
              <w:textAlignment w:val="baseline"/>
              <w:cnfStyle w:val="100000000000" w:firstRow="1" w:lastRow="0" w:firstColumn="0" w:lastColumn="0" w:oddVBand="0" w:evenVBand="0" w:oddHBand="0" w:evenHBand="0" w:firstRowFirstColumn="0" w:firstRowLastColumn="0" w:lastRowFirstColumn="0" w:lastRowLastColumn="0"/>
              <w:rPr>
                <w:rFonts w:ascii="Bryant Pro Regular" w:eastAsia="Times New Roman" w:hAnsi="Bryant Pro Regular" w:cs="Arial"/>
                <w:szCs w:val="20"/>
              </w:rPr>
            </w:pPr>
            <w:r w:rsidRPr="002B49B0">
              <w:rPr>
                <w:rFonts w:ascii="Bryant Pro Regular" w:eastAsia="Times New Roman" w:hAnsi="Bryant Pro Regular" w:cs="Arial"/>
                <w:szCs w:val="20"/>
              </w:rPr>
              <w:t>Amount (</w:t>
            </w:r>
            <w:r w:rsidR="0064110A" w:rsidRPr="002B49B0">
              <w:rPr>
                <w:rFonts w:ascii="Bryant Pro Regular" w:eastAsia="Times New Roman" w:hAnsi="Bryant Pro Regular" w:cs="Arial"/>
                <w:szCs w:val="20"/>
              </w:rPr>
              <w:t>$</w:t>
            </w:r>
            <w:r w:rsidRPr="002B49B0">
              <w:rPr>
                <w:rFonts w:ascii="Bryant Pro Regular" w:eastAsia="Times New Roman" w:hAnsi="Bryant Pro Regular" w:cs="Arial"/>
                <w:szCs w:val="20"/>
              </w:rPr>
              <w:t>000)</w:t>
            </w:r>
          </w:p>
        </w:tc>
        <w:tc>
          <w:tcPr>
            <w:tcW w:w="2102" w:type="dxa"/>
          </w:tcPr>
          <w:p w:rsidR="000B402E" w:rsidRPr="002B49B0" w:rsidRDefault="000B402E" w:rsidP="000B402E">
            <w:pPr>
              <w:overflowPunct w:val="0"/>
              <w:autoSpaceDE w:val="0"/>
              <w:autoSpaceDN w:val="0"/>
              <w:adjustRightInd w:val="0"/>
              <w:spacing w:before="0" w:after="0"/>
              <w:ind w:hanging="851"/>
              <w:jc w:val="right"/>
              <w:textAlignment w:val="baseline"/>
              <w:cnfStyle w:val="100000000000" w:firstRow="1" w:lastRow="0" w:firstColumn="0" w:lastColumn="0" w:oddVBand="0" w:evenVBand="0" w:oddHBand="0" w:evenHBand="0" w:firstRowFirstColumn="0" w:firstRowLastColumn="0" w:lastRowFirstColumn="0" w:lastRowLastColumn="0"/>
              <w:rPr>
                <w:rFonts w:ascii="Bryant Pro Regular" w:eastAsia="Times New Roman" w:hAnsi="Bryant Pro Regular" w:cs="Arial"/>
                <w:szCs w:val="20"/>
              </w:rPr>
            </w:pPr>
            <w:r w:rsidRPr="002B49B0">
              <w:rPr>
                <w:rFonts w:ascii="Bryant Pro Regular" w:eastAsia="Times New Roman" w:hAnsi="Bryant Pro Regular" w:cs="Arial"/>
                <w:szCs w:val="20"/>
              </w:rPr>
              <w:t>Percentage Change</w:t>
            </w:r>
          </w:p>
        </w:tc>
      </w:tr>
      <w:tr w:rsidR="000B402E" w:rsidRPr="002B49B0" w:rsidTr="00F87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3" w:type="dxa"/>
          </w:tcPr>
          <w:p w:rsidR="000B402E" w:rsidRPr="002B49B0" w:rsidRDefault="000B402E" w:rsidP="000B402E">
            <w:pPr>
              <w:overflowPunct w:val="0"/>
              <w:autoSpaceDE w:val="0"/>
              <w:autoSpaceDN w:val="0"/>
              <w:adjustRightInd w:val="0"/>
              <w:spacing w:before="40" w:after="0"/>
              <w:jc w:val="both"/>
              <w:textAlignment w:val="baseline"/>
              <w:rPr>
                <w:rFonts w:ascii="Bryant Pro Regular" w:eastAsia="Times New Roman" w:hAnsi="Bryant Pro Regular" w:cs="Arial"/>
                <w:color w:val="323334" w:themeColor="accent6" w:themeShade="40"/>
                <w:szCs w:val="20"/>
              </w:rPr>
            </w:pPr>
            <w:r w:rsidRPr="002B49B0">
              <w:rPr>
                <w:rFonts w:ascii="Bryant Pro Regular" w:eastAsia="Times New Roman" w:hAnsi="Bryant Pro Regular" w:cs="Arial"/>
                <w:color w:val="323334" w:themeColor="accent6" w:themeShade="40"/>
                <w:szCs w:val="20"/>
              </w:rPr>
              <w:t>Revenue from ordinary activities</w:t>
            </w:r>
          </w:p>
        </w:tc>
        <w:tc>
          <w:tcPr>
            <w:tcW w:w="1940" w:type="dxa"/>
          </w:tcPr>
          <w:p w:rsidR="000B402E" w:rsidRPr="002B49B0" w:rsidRDefault="00F66CE1" w:rsidP="002B49B0">
            <w:pPr>
              <w:overflowPunct w:val="0"/>
              <w:autoSpaceDE w:val="0"/>
              <w:autoSpaceDN w:val="0"/>
              <w:adjustRightInd w:val="0"/>
              <w:spacing w:before="40" w:after="0"/>
              <w:ind w:hanging="851"/>
              <w:jc w:val="right"/>
              <w:textAlignment w:val="baseline"/>
              <w:cnfStyle w:val="000000100000" w:firstRow="0" w:lastRow="0" w:firstColumn="0" w:lastColumn="0" w:oddVBand="0" w:evenVBand="0" w:oddHBand="1" w:evenHBand="0" w:firstRowFirstColumn="0" w:firstRowLastColumn="0" w:lastRowFirstColumn="0" w:lastRowLastColumn="0"/>
              <w:rPr>
                <w:rFonts w:ascii="Bryant Pro Regular" w:eastAsia="Times New Roman" w:hAnsi="Bryant Pro Regular" w:cs="Arial"/>
                <w:color w:val="323334" w:themeColor="accent6" w:themeShade="40"/>
                <w:szCs w:val="20"/>
              </w:rPr>
            </w:pPr>
            <w:r w:rsidRPr="002B49B0">
              <w:rPr>
                <w:rFonts w:ascii="Bryant Pro Regular" w:eastAsia="Times New Roman" w:hAnsi="Bryant Pro Regular" w:cs="Arial"/>
                <w:color w:val="323334" w:themeColor="accent6" w:themeShade="40"/>
                <w:szCs w:val="20"/>
              </w:rPr>
              <w:t>$</w:t>
            </w:r>
            <w:r w:rsidR="002B49B0">
              <w:rPr>
                <w:rFonts w:ascii="Bryant Pro Regular" w:eastAsia="Times New Roman" w:hAnsi="Bryant Pro Regular" w:cs="Arial"/>
                <w:color w:val="323334" w:themeColor="accent6" w:themeShade="40"/>
                <w:szCs w:val="20"/>
              </w:rPr>
              <w:t>288</w:t>
            </w:r>
            <w:r w:rsidRPr="002B49B0">
              <w:rPr>
                <w:rFonts w:ascii="Bryant Pro Regular" w:eastAsia="Times New Roman" w:hAnsi="Bryant Pro Regular" w:cs="Arial"/>
                <w:color w:val="323334" w:themeColor="accent6" w:themeShade="40"/>
                <w:szCs w:val="20"/>
              </w:rPr>
              <w:t>,</w:t>
            </w:r>
            <w:r w:rsidR="002B49B0">
              <w:rPr>
                <w:rFonts w:ascii="Bryant Pro Regular" w:eastAsia="Times New Roman" w:hAnsi="Bryant Pro Regular" w:cs="Arial"/>
                <w:color w:val="323334" w:themeColor="accent6" w:themeShade="40"/>
                <w:szCs w:val="20"/>
              </w:rPr>
              <w:t>69</w:t>
            </w:r>
            <w:r w:rsidRPr="002B49B0">
              <w:rPr>
                <w:rFonts w:ascii="Bryant Pro Regular" w:eastAsia="Times New Roman" w:hAnsi="Bryant Pro Regular" w:cs="Arial"/>
                <w:color w:val="323334" w:themeColor="accent6" w:themeShade="40"/>
                <w:szCs w:val="20"/>
              </w:rPr>
              <w:t>6</w:t>
            </w:r>
          </w:p>
        </w:tc>
        <w:tc>
          <w:tcPr>
            <w:tcW w:w="2102" w:type="dxa"/>
          </w:tcPr>
          <w:p w:rsidR="000B402E" w:rsidRPr="002B49B0" w:rsidRDefault="002B49B0" w:rsidP="000B402E">
            <w:pPr>
              <w:overflowPunct w:val="0"/>
              <w:autoSpaceDE w:val="0"/>
              <w:autoSpaceDN w:val="0"/>
              <w:adjustRightInd w:val="0"/>
              <w:spacing w:before="40" w:after="0"/>
              <w:ind w:hanging="851"/>
              <w:jc w:val="right"/>
              <w:textAlignment w:val="baseline"/>
              <w:cnfStyle w:val="000000100000" w:firstRow="0" w:lastRow="0" w:firstColumn="0" w:lastColumn="0" w:oddVBand="0" w:evenVBand="0" w:oddHBand="1" w:evenHBand="0" w:firstRowFirstColumn="0" w:firstRowLastColumn="0" w:lastRowFirstColumn="0" w:lastRowLastColumn="0"/>
              <w:rPr>
                <w:rFonts w:ascii="Bryant Pro Regular" w:eastAsia="Times New Roman" w:hAnsi="Bryant Pro Regular" w:cs="Arial"/>
                <w:color w:val="323334" w:themeColor="accent6" w:themeShade="40"/>
                <w:szCs w:val="20"/>
              </w:rPr>
            </w:pPr>
            <w:r>
              <w:rPr>
                <w:rFonts w:ascii="Bryant Pro Regular" w:eastAsia="Times New Roman" w:hAnsi="Bryant Pro Regular" w:cs="Arial"/>
                <w:color w:val="323334" w:themeColor="accent6" w:themeShade="40"/>
                <w:szCs w:val="20"/>
              </w:rPr>
              <w:t>35</w:t>
            </w:r>
            <w:r w:rsidR="000B402E" w:rsidRPr="002B49B0">
              <w:rPr>
                <w:rFonts w:ascii="Bryant Pro Regular" w:eastAsia="Times New Roman" w:hAnsi="Bryant Pro Regular" w:cs="Arial"/>
                <w:color w:val="323334" w:themeColor="accent6" w:themeShade="40"/>
                <w:szCs w:val="20"/>
              </w:rPr>
              <w:t>%</w:t>
            </w:r>
          </w:p>
        </w:tc>
      </w:tr>
      <w:tr w:rsidR="000B402E" w:rsidRPr="002B49B0" w:rsidTr="00F870B2">
        <w:tc>
          <w:tcPr>
            <w:cnfStyle w:val="001000000000" w:firstRow="0" w:lastRow="0" w:firstColumn="1" w:lastColumn="0" w:oddVBand="0" w:evenVBand="0" w:oddHBand="0" w:evenHBand="0" w:firstRowFirstColumn="0" w:firstRowLastColumn="0" w:lastRowFirstColumn="0" w:lastRowLastColumn="0"/>
            <w:tcW w:w="4463" w:type="dxa"/>
          </w:tcPr>
          <w:p w:rsidR="000B402E" w:rsidRPr="002B49B0" w:rsidRDefault="000B402E" w:rsidP="000B402E">
            <w:pPr>
              <w:overflowPunct w:val="0"/>
              <w:autoSpaceDE w:val="0"/>
              <w:autoSpaceDN w:val="0"/>
              <w:adjustRightInd w:val="0"/>
              <w:spacing w:before="40" w:after="0"/>
              <w:jc w:val="both"/>
              <w:textAlignment w:val="baseline"/>
              <w:rPr>
                <w:rFonts w:ascii="Bryant Pro Regular" w:eastAsia="Times New Roman" w:hAnsi="Bryant Pro Regular" w:cs="Arial"/>
                <w:color w:val="323334" w:themeColor="accent6" w:themeShade="40"/>
                <w:szCs w:val="20"/>
              </w:rPr>
            </w:pPr>
            <w:r w:rsidRPr="002B49B0">
              <w:rPr>
                <w:rFonts w:ascii="Bryant Pro Regular" w:eastAsia="Times New Roman" w:hAnsi="Bryant Pro Regular" w:cs="Arial"/>
                <w:color w:val="323334" w:themeColor="accent6" w:themeShade="40"/>
                <w:szCs w:val="20"/>
              </w:rPr>
              <w:t>Profit (loss) from ordinary activities after tax attributable to security holders</w:t>
            </w:r>
          </w:p>
        </w:tc>
        <w:tc>
          <w:tcPr>
            <w:tcW w:w="1940" w:type="dxa"/>
          </w:tcPr>
          <w:p w:rsidR="000B402E" w:rsidRPr="002B49B0" w:rsidRDefault="002B49B0" w:rsidP="000B402E">
            <w:pPr>
              <w:overflowPunct w:val="0"/>
              <w:autoSpaceDE w:val="0"/>
              <w:autoSpaceDN w:val="0"/>
              <w:adjustRightInd w:val="0"/>
              <w:spacing w:before="40" w:after="0"/>
              <w:ind w:hanging="851"/>
              <w:jc w:val="right"/>
              <w:textAlignment w:val="baseline"/>
              <w:cnfStyle w:val="000000000000" w:firstRow="0" w:lastRow="0" w:firstColumn="0" w:lastColumn="0" w:oddVBand="0" w:evenVBand="0" w:oddHBand="0" w:evenHBand="0" w:firstRowFirstColumn="0" w:firstRowLastColumn="0" w:lastRowFirstColumn="0" w:lastRowLastColumn="0"/>
              <w:rPr>
                <w:rFonts w:ascii="Bryant Pro Regular" w:eastAsia="Times New Roman" w:hAnsi="Bryant Pro Regular" w:cs="Arial"/>
                <w:color w:val="323334" w:themeColor="accent6" w:themeShade="40"/>
                <w:szCs w:val="20"/>
              </w:rPr>
            </w:pPr>
            <w:r>
              <w:rPr>
                <w:rFonts w:ascii="Bryant Pro Regular" w:eastAsia="Times New Roman" w:hAnsi="Bryant Pro Regular" w:cs="Arial"/>
                <w:color w:val="323334" w:themeColor="accent6" w:themeShade="40"/>
                <w:szCs w:val="20"/>
              </w:rPr>
              <w:t>$10,611</w:t>
            </w:r>
          </w:p>
        </w:tc>
        <w:tc>
          <w:tcPr>
            <w:tcW w:w="2102" w:type="dxa"/>
          </w:tcPr>
          <w:p w:rsidR="000B402E" w:rsidRPr="002B49B0" w:rsidRDefault="002B49B0" w:rsidP="000B402E">
            <w:pPr>
              <w:overflowPunct w:val="0"/>
              <w:autoSpaceDE w:val="0"/>
              <w:autoSpaceDN w:val="0"/>
              <w:adjustRightInd w:val="0"/>
              <w:spacing w:before="40" w:after="0"/>
              <w:ind w:hanging="851"/>
              <w:jc w:val="right"/>
              <w:textAlignment w:val="baseline"/>
              <w:cnfStyle w:val="000000000000" w:firstRow="0" w:lastRow="0" w:firstColumn="0" w:lastColumn="0" w:oddVBand="0" w:evenVBand="0" w:oddHBand="0" w:evenHBand="0" w:firstRowFirstColumn="0" w:firstRowLastColumn="0" w:lastRowFirstColumn="0" w:lastRowLastColumn="0"/>
              <w:rPr>
                <w:rFonts w:ascii="Bryant Pro Regular" w:eastAsia="Times New Roman" w:hAnsi="Bryant Pro Regular" w:cs="Arial"/>
                <w:color w:val="323334" w:themeColor="accent6" w:themeShade="40"/>
                <w:szCs w:val="20"/>
              </w:rPr>
            </w:pPr>
            <w:r>
              <w:rPr>
                <w:rFonts w:ascii="Bryant Pro Regular" w:eastAsia="Times New Roman" w:hAnsi="Bryant Pro Regular" w:cs="Arial"/>
                <w:color w:val="323334" w:themeColor="accent6" w:themeShade="40"/>
                <w:szCs w:val="20"/>
              </w:rPr>
              <w:t>4</w:t>
            </w:r>
            <w:r w:rsidR="000B402E" w:rsidRPr="002B49B0">
              <w:rPr>
                <w:rFonts w:ascii="Bryant Pro Regular" w:eastAsia="Times New Roman" w:hAnsi="Bryant Pro Regular" w:cs="Arial"/>
                <w:color w:val="323334" w:themeColor="accent6" w:themeShade="40"/>
                <w:szCs w:val="20"/>
              </w:rPr>
              <w:t>%</w:t>
            </w:r>
          </w:p>
        </w:tc>
      </w:tr>
      <w:tr w:rsidR="000B402E" w:rsidRPr="002B49B0" w:rsidTr="00F87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3" w:type="dxa"/>
          </w:tcPr>
          <w:p w:rsidR="000B402E" w:rsidRPr="002B49B0" w:rsidRDefault="000B402E" w:rsidP="000B402E">
            <w:pPr>
              <w:overflowPunct w:val="0"/>
              <w:autoSpaceDE w:val="0"/>
              <w:autoSpaceDN w:val="0"/>
              <w:adjustRightInd w:val="0"/>
              <w:spacing w:before="40" w:after="0"/>
              <w:jc w:val="both"/>
              <w:textAlignment w:val="baseline"/>
              <w:rPr>
                <w:rFonts w:ascii="Bryant Pro Regular" w:eastAsia="Times New Roman" w:hAnsi="Bryant Pro Regular" w:cs="Arial"/>
                <w:color w:val="323334" w:themeColor="accent6" w:themeShade="40"/>
                <w:szCs w:val="20"/>
              </w:rPr>
            </w:pPr>
            <w:r w:rsidRPr="002B49B0">
              <w:rPr>
                <w:rFonts w:ascii="Bryant Pro Regular" w:eastAsia="Times New Roman" w:hAnsi="Bryant Pro Regular" w:cs="Arial"/>
                <w:color w:val="323334" w:themeColor="accent6" w:themeShade="40"/>
                <w:szCs w:val="20"/>
              </w:rPr>
              <w:t>Profit (loss) attributable to security holders</w:t>
            </w:r>
          </w:p>
        </w:tc>
        <w:tc>
          <w:tcPr>
            <w:tcW w:w="1940" w:type="dxa"/>
          </w:tcPr>
          <w:p w:rsidR="00F66CE1" w:rsidRPr="002B49B0" w:rsidRDefault="002B49B0" w:rsidP="00F66CE1">
            <w:pPr>
              <w:overflowPunct w:val="0"/>
              <w:autoSpaceDE w:val="0"/>
              <w:autoSpaceDN w:val="0"/>
              <w:adjustRightInd w:val="0"/>
              <w:spacing w:before="40" w:after="0"/>
              <w:ind w:hanging="851"/>
              <w:jc w:val="right"/>
              <w:textAlignment w:val="baseline"/>
              <w:cnfStyle w:val="000000100000" w:firstRow="0" w:lastRow="0" w:firstColumn="0" w:lastColumn="0" w:oddVBand="0" w:evenVBand="0" w:oddHBand="1" w:evenHBand="0" w:firstRowFirstColumn="0" w:firstRowLastColumn="0" w:lastRowFirstColumn="0" w:lastRowLastColumn="0"/>
              <w:rPr>
                <w:rFonts w:ascii="Bryant Pro Regular" w:eastAsia="Times New Roman" w:hAnsi="Bryant Pro Regular" w:cs="Arial"/>
                <w:color w:val="323334" w:themeColor="accent6" w:themeShade="40"/>
                <w:szCs w:val="20"/>
              </w:rPr>
            </w:pPr>
            <w:r>
              <w:rPr>
                <w:rFonts w:ascii="Bryant Pro Regular" w:eastAsia="Times New Roman" w:hAnsi="Bryant Pro Regular" w:cs="Arial"/>
                <w:color w:val="323334" w:themeColor="accent6" w:themeShade="40"/>
                <w:szCs w:val="20"/>
              </w:rPr>
              <w:t>$10,611</w:t>
            </w:r>
          </w:p>
        </w:tc>
        <w:tc>
          <w:tcPr>
            <w:tcW w:w="2102" w:type="dxa"/>
          </w:tcPr>
          <w:p w:rsidR="000B402E" w:rsidRPr="002B49B0" w:rsidRDefault="002B49B0" w:rsidP="000B402E">
            <w:pPr>
              <w:overflowPunct w:val="0"/>
              <w:autoSpaceDE w:val="0"/>
              <w:autoSpaceDN w:val="0"/>
              <w:adjustRightInd w:val="0"/>
              <w:spacing w:before="40" w:after="0"/>
              <w:ind w:hanging="851"/>
              <w:jc w:val="right"/>
              <w:textAlignment w:val="baseline"/>
              <w:cnfStyle w:val="000000100000" w:firstRow="0" w:lastRow="0" w:firstColumn="0" w:lastColumn="0" w:oddVBand="0" w:evenVBand="0" w:oddHBand="1" w:evenHBand="0" w:firstRowFirstColumn="0" w:firstRowLastColumn="0" w:lastRowFirstColumn="0" w:lastRowLastColumn="0"/>
              <w:rPr>
                <w:rFonts w:ascii="Bryant Pro Regular" w:eastAsia="Times New Roman" w:hAnsi="Bryant Pro Regular" w:cs="Arial"/>
                <w:color w:val="323334" w:themeColor="accent6" w:themeShade="40"/>
                <w:szCs w:val="20"/>
              </w:rPr>
            </w:pPr>
            <w:r>
              <w:rPr>
                <w:rFonts w:ascii="Bryant Pro Regular" w:eastAsia="Times New Roman" w:hAnsi="Bryant Pro Regular" w:cs="Arial"/>
                <w:color w:val="323334" w:themeColor="accent6" w:themeShade="40"/>
                <w:szCs w:val="20"/>
              </w:rPr>
              <w:t>4</w:t>
            </w:r>
            <w:r w:rsidR="000B402E" w:rsidRPr="002B49B0">
              <w:rPr>
                <w:rFonts w:ascii="Bryant Pro Regular" w:eastAsia="Times New Roman" w:hAnsi="Bryant Pro Regular" w:cs="Arial"/>
                <w:color w:val="323334" w:themeColor="accent6" w:themeShade="40"/>
                <w:szCs w:val="20"/>
              </w:rPr>
              <w:t>%</w:t>
            </w:r>
          </w:p>
        </w:tc>
      </w:tr>
    </w:tbl>
    <w:p w:rsidR="000B402E" w:rsidRPr="002B49B0" w:rsidRDefault="000B402E" w:rsidP="000B402E">
      <w:pPr>
        <w:overflowPunct w:val="0"/>
        <w:autoSpaceDE w:val="0"/>
        <w:autoSpaceDN w:val="0"/>
        <w:adjustRightInd w:val="0"/>
        <w:spacing w:before="0" w:after="0" w:line="240" w:lineRule="auto"/>
        <w:ind w:left="851" w:hanging="851"/>
        <w:jc w:val="both"/>
        <w:textAlignment w:val="baseline"/>
        <w:rPr>
          <w:rFonts w:ascii="Bryant Pro Regular" w:eastAsia="Times New Roman" w:hAnsi="Bryant Pro Regular" w:cs="Arial"/>
          <w:szCs w:val="20"/>
        </w:rPr>
      </w:pPr>
    </w:p>
    <w:tbl>
      <w:tblPr>
        <w:tblStyle w:val="LightList-Accent1"/>
        <w:tblW w:w="0" w:type="auto"/>
        <w:tblInd w:w="108" w:type="dxa"/>
        <w:tblLook w:val="04A0" w:firstRow="1" w:lastRow="0" w:firstColumn="1" w:lastColumn="0" w:noHBand="0" w:noVBand="1"/>
      </w:tblPr>
      <w:tblGrid>
        <w:gridCol w:w="3261"/>
        <w:gridCol w:w="2268"/>
        <w:gridCol w:w="2976"/>
      </w:tblGrid>
      <w:tr w:rsidR="000B402E" w:rsidRPr="002B49B0" w:rsidTr="002625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0B402E" w:rsidRPr="002B49B0" w:rsidRDefault="000B402E" w:rsidP="000B402E">
            <w:pPr>
              <w:overflowPunct w:val="0"/>
              <w:autoSpaceDE w:val="0"/>
              <w:autoSpaceDN w:val="0"/>
              <w:adjustRightInd w:val="0"/>
              <w:spacing w:before="0" w:after="0"/>
              <w:jc w:val="both"/>
              <w:textAlignment w:val="baseline"/>
              <w:rPr>
                <w:rFonts w:ascii="Bryant Pro Regular" w:eastAsia="Times New Roman" w:hAnsi="Bryant Pro Regular" w:cs="Arial"/>
                <w:szCs w:val="20"/>
              </w:rPr>
            </w:pPr>
            <w:r w:rsidRPr="002B49B0">
              <w:rPr>
                <w:rFonts w:ascii="Bryant Pro Regular" w:eastAsia="Times New Roman" w:hAnsi="Bryant Pro Regular" w:cs="Arial"/>
                <w:szCs w:val="20"/>
              </w:rPr>
              <w:t>Interim / final dividend</w:t>
            </w:r>
          </w:p>
        </w:tc>
        <w:tc>
          <w:tcPr>
            <w:tcW w:w="2268" w:type="dxa"/>
          </w:tcPr>
          <w:p w:rsidR="000B402E" w:rsidRPr="002B49B0" w:rsidRDefault="000B402E" w:rsidP="000B402E">
            <w:pPr>
              <w:overflowPunct w:val="0"/>
              <w:autoSpaceDE w:val="0"/>
              <w:autoSpaceDN w:val="0"/>
              <w:adjustRightInd w:val="0"/>
              <w:spacing w:before="0" w:after="0"/>
              <w:ind w:hanging="851"/>
              <w:jc w:val="right"/>
              <w:textAlignment w:val="baseline"/>
              <w:cnfStyle w:val="100000000000" w:firstRow="1" w:lastRow="0" w:firstColumn="0" w:lastColumn="0" w:oddVBand="0" w:evenVBand="0" w:oddHBand="0" w:evenHBand="0" w:firstRowFirstColumn="0" w:firstRowLastColumn="0" w:lastRowFirstColumn="0" w:lastRowLastColumn="0"/>
              <w:rPr>
                <w:rFonts w:ascii="Bryant Pro Regular" w:eastAsia="Times New Roman" w:hAnsi="Bryant Pro Regular" w:cs="Arial"/>
                <w:szCs w:val="20"/>
              </w:rPr>
            </w:pPr>
            <w:r w:rsidRPr="002B49B0">
              <w:rPr>
                <w:rFonts w:ascii="Bryant Pro Regular" w:eastAsia="Times New Roman" w:hAnsi="Bryant Pro Regular" w:cs="Arial"/>
                <w:szCs w:val="20"/>
              </w:rPr>
              <w:t>Amount per security</w:t>
            </w:r>
          </w:p>
        </w:tc>
        <w:tc>
          <w:tcPr>
            <w:tcW w:w="2976" w:type="dxa"/>
          </w:tcPr>
          <w:p w:rsidR="000B402E" w:rsidRPr="002B49B0" w:rsidRDefault="000B402E" w:rsidP="000B402E">
            <w:pPr>
              <w:overflowPunct w:val="0"/>
              <w:autoSpaceDE w:val="0"/>
              <w:autoSpaceDN w:val="0"/>
              <w:adjustRightInd w:val="0"/>
              <w:spacing w:before="0" w:after="0"/>
              <w:ind w:hanging="851"/>
              <w:jc w:val="right"/>
              <w:textAlignment w:val="baseline"/>
              <w:cnfStyle w:val="100000000000" w:firstRow="1" w:lastRow="0" w:firstColumn="0" w:lastColumn="0" w:oddVBand="0" w:evenVBand="0" w:oddHBand="0" w:evenHBand="0" w:firstRowFirstColumn="0" w:firstRowLastColumn="0" w:lastRowFirstColumn="0" w:lastRowLastColumn="0"/>
              <w:rPr>
                <w:rFonts w:ascii="Bryant Pro Regular" w:eastAsia="Times New Roman" w:hAnsi="Bryant Pro Regular" w:cs="Arial"/>
                <w:szCs w:val="20"/>
              </w:rPr>
            </w:pPr>
            <w:r w:rsidRPr="002B49B0">
              <w:rPr>
                <w:rFonts w:ascii="Bryant Pro Regular" w:eastAsia="Times New Roman" w:hAnsi="Bryant Pro Regular" w:cs="Arial"/>
                <w:szCs w:val="20"/>
              </w:rPr>
              <w:t>Imputed amount per security</w:t>
            </w:r>
          </w:p>
        </w:tc>
      </w:tr>
      <w:tr w:rsidR="000B402E" w:rsidRPr="002B49B0" w:rsidTr="00262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0B402E" w:rsidRPr="002B49B0" w:rsidRDefault="000B402E" w:rsidP="000B402E">
            <w:pPr>
              <w:overflowPunct w:val="0"/>
              <w:autoSpaceDE w:val="0"/>
              <w:autoSpaceDN w:val="0"/>
              <w:adjustRightInd w:val="0"/>
              <w:spacing w:before="40" w:after="0"/>
              <w:jc w:val="both"/>
              <w:textAlignment w:val="baseline"/>
              <w:rPr>
                <w:rFonts w:ascii="Bryant Pro Regular" w:eastAsia="Times New Roman" w:hAnsi="Bryant Pro Regular" w:cs="Arial"/>
                <w:color w:val="323334" w:themeColor="accent6" w:themeShade="40"/>
                <w:szCs w:val="20"/>
              </w:rPr>
            </w:pPr>
            <w:r w:rsidRPr="002B49B0">
              <w:rPr>
                <w:rFonts w:ascii="Bryant Pro Regular" w:eastAsia="Times New Roman" w:hAnsi="Bryant Pro Regular" w:cs="Arial"/>
                <w:color w:val="323334" w:themeColor="accent6" w:themeShade="40"/>
                <w:szCs w:val="20"/>
              </w:rPr>
              <w:t>No dividend is proposed</w:t>
            </w:r>
          </w:p>
        </w:tc>
        <w:tc>
          <w:tcPr>
            <w:tcW w:w="2268" w:type="dxa"/>
          </w:tcPr>
          <w:p w:rsidR="000B402E" w:rsidRPr="002B49B0" w:rsidRDefault="000B402E" w:rsidP="000B402E">
            <w:pPr>
              <w:overflowPunct w:val="0"/>
              <w:autoSpaceDE w:val="0"/>
              <w:autoSpaceDN w:val="0"/>
              <w:adjustRightInd w:val="0"/>
              <w:spacing w:before="40" w:after="0"/>
              <w:ind w:hanging="851"/>
              <w:jc w:val="right"/>
              <w:textAlignment w:val="baseline"/>
              <w:cnfStyle w:val="000000100000" w:firstRow="0" w:lastRow="0" w:firstColumn="0" w:lastColumn="0" w:oddVBand="0" w:evenVBand="0" w:oddHBand="1" w:evenHBand="0" w:firstRowFirstColumn="0" w:firstRowLastColumn="0" w:lastRowFirstColumn="0" w:lastRowLastColumn="0"/>
              <w:rPr>
                <w:rFonts w:ascii="Bryant Pro Regular" w:eastAsia="Times New Roman" w:hAnsi="Bryant Pro Regular" w:cs="Arial"/>
                <w:color w:val="323334" w:themeColor="accent6" w:themeShade="40"/>
                <w:szCs w:val="20"/>
              </w:rPr>
            </w:pPr>
            <w:r w:rsidRPr="002B49B0">
              <w:rPr>
                <w:rFonts w:ascii="Bryant Pro Regular" w:eastAsia="Times New Roman" w:hAnsi="Bryant Pro Regular" w:cs="Arial"/>
                <w:color w:val="323334" w:themeColor="accent6" w:themeShade="40"/>
                <w:szCs w:val="20"/>
              </w:rPr>
              <w:t>$nil</w:t>
            </w:r>
          </w:p>
        </w:tc>
        <w:tc>
          <w:tcPr>
            <w:tcW w:w="2976" w:type="dxa"/>
          </w:tcPr>
          <w:p w:rsidR="000B402E" w:rsidRPr="002B49B0" w:rsidRDefault="000B402E" w:rsidP="000B402E">
            <w:pPr>
              <w:overflowPunct w:val="0"/>
              <w:autoSpaceDE w:val="0"/>
              <w:autoSpaceDN w:val="0"/>
              <w:adjustRightInd w:val="0"/>
              <w:spacing w:before="40" w:after="0"/>
              <w:ind w:hanging="851"/>
              <w:jc w:val="right"/>
              <w:textAlignment w:val="baseline"/>
              <w:cnfStyle w:val="000000100000" w:firstRow="0" w:lastRow="0" w:firstColumn="0" w:lastColumn="0" w:oddVBand="0" w:evenVBand="0" w:oddHBand="1" w:evenHBand="0" w:firstRowFirstColumn="0" w:firstRowLastColumn="0" w:lastRowFirstColumn="0" w:lastRowLastColumn="0"/>
              <w:rPr>
                <w:rFonts w:ascii="Bryant Pro Regular" w:eastAsia="Times New Roman" w:hAnsi="Bryant Pro Regular" w:cs="Arial"/>
                <w:color w:val="323334" w:themeColor="accent6" w:themeShade="40"/>
                <w:szCs w:val="20"/>
              </w:rPr>
            </w:pPr>
            <w:r w:rsidRPr="002B49B0">
              <w:rPr>
                <w:rFonts w:ascii="Bryant Pro Regular" w:eastAsia="Times New Roman" w:hAnsi="Bryant Pro Regular" w:cs="Arial"/>
                <w:color w:val="323334" w:themeColor="accent6" w:themeShade="40"/>
                <w:szCs w:val="20"/>
              </w:rPr>
              <w:t>$nil</w:t>
            </w:r>
          </w:p>
        </w:tc>
      </w:tr>
    </w:tbl>
    <w:p w:rsidR="000B402E" w:rsidRPr="002B49B0" w:rsidRDefault="000B402E" w:rsidP="000B402E">
      <w:pPr>
        <w:overflowPunct w:val="0"/>
        <w:autoSpaceDE w:val="0"/>
        <w:autoSpaceDN w:val="0"/>
        <w:adjustRightInd w:val="0"/>
        <w:spacing w:before="0" w:after="0" w:line="240" w:lineRule="auto"/>
        <w:ind w:left="851" w:hanging="851"/>
        <w:jc w:val="both"/>
        <w:textAlignment w:val="baseline"/>
        <w:rPr>
          <w:rFonts w:ascii="Bryant Pro Regular" w:eastAsia="Times New Roman" w:hAnsi="Bryant Pro Regular" w:cs="Arial"/>
          <w:szCs w:val="20"/>
        </w:rPr>
      </w:pPr>
    </w:p>
    <w:p w:rsidR="000B402E" w:rsidRPr="002B49B0" w:rsidRDefault="000B402E" w:rsidP="000B402E">
      <w:pPr>
        <w:overflowPunct w:val="0"/>
        <w:autoSpaceDE w:val="0"/>
        <w:autoSpaceDN w:val="0"/>
        <w:adjustRightInd w:val="0"/>
        <w:spacing w:before="0" w:after="0" w:line="240" w:lineRule="auto"/>
        <w:ind w:left="851" w:hanging="851"/>
        <w:jc w:val="both"/>
        <w:textAlignment w:val="baseline"/>
        <w:rPr>
          <w:rFonts w:ascii="Bryant Pro Regular" w:eastAsia="Times New Roman" w:hAnsi="Bryant Pro Regular" w:cs="Arial"/>
          <w:szCs w:val="20"/>
        </w:rPr>
      </w:pPr>
      <w:r w:rsidRPr="002B49B0">
        <w:rPr>
          <w:rFonts w:ascii="Bryant Pro Regular" w:eastAsia="Times New Roman" w:hAnsi="Bryant Pro Regular" w:cs="Arial"/>
          <w:b/>
          <w:color w:val="5BC6E8" w:themeColor="accent1"/>
          <w:szCs w:val="20"/>
        </w:rPr>
        <w:t>Dividend Record Date:</w:t>
      </w:r>
      <w:r w:rsidRPr="002B49B0">
        <w:rPr>
          <w:rFonts w:ascii="Bryant Pro Regular" w:eastAsia="Times New Roman" w:hAnsi="Bryant Pro Regular" w:cs="Arial"/>
          <w:b/>
          <w:szCs w:val="20"/>
        </w:rPr>
        <w:tab/>
      </w:r>
      <w:r w:rsidR="002B49B0">
        <w:rPr>
          <w:rFonts w:ascii="Bryant Pro Regular" w:eastAsia="Times New Roman" w:hAnsi="Bryant Pro Regular" w:cs="Arial"/>
          <w:b/>
          <w:szCs w:val="20"/>
        </w:rPr>
        <w:tab/>
      </w:r>
      <w:r w:rsidRPr="002B49B0">
        <w:rPr>
          <w:rFonts w:ascii="Bryant Pro Regular" w:eastAsia="Times New Roman" w:hAnsi="Bryant Pro Regular" w:cs="Arial"/>
          <w:szCs w:val="20"/>
        </w:rPr>
        <w:t>Not Applicable</w:t>
      </w:r>
    </w:p>
    <w:p w:rsidR="000B402E" w:rsidRPr="002B49B0" w:rsidRDefault="000B402E" w:rsidP="000B402E">
      <w:pPr>
        <w:overflowPunct w:val="0"/>
        <w:autoSpaceDE w:val="0"/>
        <w:autoSpaceDN w:val="0"/>
        <w:adjustRightInd w:val="0"/>
        <w:spacing w:before="0" w:after="0" w:line="240" w:lineRule="auto"/>
        <w:ind w:left="851" w:hanging="851"/>
        <w:jc w:val="both"/>
        <w:textAlignment w:val="baseline"/>
        <w:rPr>
          <w:rFonts w:ascii="Bryant Pro Regular" w:eastAsia="Times New Roman" w:hAnsi="Bryant Pro Regular" w:cs="Arial"/>
          <w:szCs w:val="20"/>
        </w:rPr>
      </w:pPr>
      <w:r w:rsidRPr="002B49B0">
        <w:rPr>
          <w:rFonts w:ascii="Bryant Pro Regular" w:eastAsia="Times New Roman" w:hAnsi="Bryant Pro Regular" w:cs="Arial"/>
          <w:b/>
          <w:color w:val="5BC6E8" w:themeColor="accent1"/>
          <w:szCs w:val="20"/>
        </w:rPr>
        <w:t>Dividend Payment Date:</w:t>
      </w:r>
      <w:r w:rsidRPr="002B49B0">
        <w:rPr>
          <w:rFonts w:ascii="Bryant Pro Regular" w:eastAsia="Times New Roman" w:hAnsi="Bryant Pro Regular" w:cs="Arial"/>
          <w:b/>
          <w:color w:val="5BC6E8" w:themeColor="accent1"/>
          <w:szCs w:val="20"/>
        </w:rPr>
        <w:tab/>
      </w:r>
      <w:r w:rsidRPr="002B49B0">
        <w:rPr>
          <w:rFonts w:ascii="Bryant Pro Regular" w:eastAsia="Times New Roman" w:hAnsi="Bryant Pro Regular" w:cs="Arial"/>
          <w:szCs w:val="20"/>
        </w:rPr>
        <w:t>Not Applicable</w:t>
      </w:r>
    </w:p>
    <w:p w:rsidR="000B402E" w:rsidRPr="002B49B0" w:rsidRDefault="000B402E" w:rsidP="002B49B0">
      <w:pPr>
        <w:overflowPunct w:val="0"/>
        <w:autoSpaceDE w:val="0"/>
        <w:autoSpaceDN w:val="0"/>
        <w:adjustRightInd w:val="0"/>
        <w:spacing w:before="0" w:after="0" w:line="240" w:lineRule="auto"/>
        <w:ind w:left="2880" w:hanging="2880"/>
        <w:textAlignment w:val="baseline"/>
        <w:rPr>
          <w:rFonts w:ascii="Bryant Pro Regular" w:eastAsia="Times New Roman" w:hAnsi="Bryant Pro Regular" w:cs="Arial"/>
          <w:szCs w:val="20"/>
        </w:rPr>
      </w:pPr>
      <w:r w:rsidRPr="002B49B0">
        <w:rPr>
          <w:rFonts w:ascii="Bryant Pro Regular" w:eastAsia="Times New Roman" w:hAnsi="Bryant Pro Regular" w:cs="Arial"/>
          <w:b/>
          <w:color w:val="5BC6E8" w:themeColor="accent1"/>
          <w:szCs w:val="20"/>
        </w:rPr>
        <w:t>Comments</w:t>
      </w:r>
      <w:r w:rsidRPr="002B49B0">
        <w:rPr>
          <w:rFonts w:ascii="Bryant Pro Regular" w:eastAsia="Times New Roman" w:hAnsi="Bryant Pro Regular" w:cs="Arial"/>
          <w:color w:val="5BC6E8" w:themeColor="accent1"/>
          <w:szCs w:val="20"/>
        </w:rPr>
        <w:t>:</w:t>
      </w:r>
      <w:r w:rsidRPr="002B49B0">
        <w:rPr>
          <w:rFonts w:ascii="Bryant Pro Regular" w:eastAsia="Times New Roman" w:hAnsi="Bryant Pro Regular" w:cs="Arial"/>
          <w:szCs w:val="20"/>
        </w:rPr>
        <w:t xml:space="preserve"> </w:t>
      </w:r>
      <w:r w:rsidRPr="002B49B0">
        <w:rPr>
          <w:rFonts w:ascii="Bryant Pro Regular" w:eastAsia="Times New Roman" w:hAnsi="Bryant Pro Regular" w:cs="Arial"/>
          <w:szCs w:val="20"/>
        </w:rPr>
        <w:tab/>
        <w:t xml:space="preserve">Please refer to Synlait Milk Limited </w:t>
      </w:r>
      <w:r w:rsidR="00B05EA3" w:rsidRPr="002B49B0">
        <w:rPr>
          <w:rFonts w:ascii="Bryant Pro Regular" w:eastAsia="Times New Roman" w:hAnsi="Bryant Pro Regular" w:cs="Arial"/>
          <w:szCs w:val="20"/>
        </w:rPr>
        <w:t>Interim</w:t>
      </w:r>
      <w:r w:rsidRPr="002B49B0">
        <w:rPr>
          <w:rFonts w:ascii="Bryant Pro Regular" w:eastAsia="Times New Roman" w:hAnsi="Bryant Pro Regular" w:cs="Arial"/>
          <w:szCs w:val="20"/>
        </w:rPr>
        <w:t xml:space="preserve"> Report 201</w:t>
      </w:r>
      <w:r w:rsidR="00B05EA3" w:rsidRPr="002B49B0">
        <w:rPr>
          <w:rFonts w:ascii="Bryant Pro Regular" w:eastAsia="Times New Roman" w:hAnsi="Bryant Pro Regular" w:cs="Arial"/>
          <w:szCs w:val="20"/>
        </w:rPr>
        <w:t>7 released on 29 March 2017</w:t>
      </w:r>
    </w:p>
    <w:p w:rsidR="000B402E" w:rsidRPr="002B49B0" w:rsidRDefault="000B402E">
      <w:pPr>
        <w:spacing w:before="0" w:after="200"/>
        <w:rPr>
          <w:rFonts w:ascii="Bryant Pro Regular" w:eastAsia="Times New Roman" w:hAnsi="Bryant Pro Regular" w:cs="Arial"/>
          <w:color w:val="5BC6E8" w:themeColor="accent1"/>
          <w:szCs w:val="20"/>
        </w:rPr>
      </w:pPr>
      <w:r w:rsidRPr="002B49B0">
        <w:rPr>
          <w:rFonts w:ascii="Bryant Pro Regular" w:eastAsia="Times New Roman" w:hAnsi="Bryant Pro Regular" w:cs="Arial"/>
          <w:color w:val="5BC6E8" w:themeColor="accent1"/>
          <w:szCs w:val="20"/>
        </w:rPr>
        <w:br w:type="page"/>
      </w:r>
    </w:p>
    <w:p w:rsidR="000B402E" w:rsidRPr="002B49B0" w:rsidRDefault="000B402E" w:rsidP="000B402E">
      <w:pPr>
        <w:pStyle w:val="Title"/>
        <w:rPr>
          <w:rFonts w:ascii="Bryant Pro Regular" w:hAnsi="Bryant Pro Regular"/>
        </w:rPr>
      </w:pPr>
      <w:r w:rsidRPr="002B49B0">
        <w:rPr>
          <w:rFonts w:ascii="Bryant Pro Regular" w:hAnsi="Bryant Pro Regular"/>
        </w:rPr>
        <w:t xml:space="preserve">PRELIMINARY </w:t>
      </w:r>
      <w:r w:rsidR="00B05EA3" w:rsidRPr="002B49B0">
        <w:rPr>
          <w:rFonts w:ascii="Bryant Pro Regular" w:hAnsi="Bryant Pro Regular"/>
        </w:rPr>
        <w:t>Half</w:t>
      </w:r>
      <w:r w:rsidRPr="002B49B0">
        <w:rPr>
          <w:rFonts w:ascii="Bryant Pro Regular" w:hAnsi="Bryant Pro Regular"/>
        </w:rPr>
        <w:t xml:space="preserve"> YEAR REPORT ANNOUNCEMENT</w:t>
      </w:r>
    </w:p>
    <w:p w:rsidR="000B402E" w:rsidRPr="002B49B0" w:rsidRDefault="000B402E" w:rsidP="000B402E">
      <w:pPr>
        <w:pStyle w:val="Title"/>
        <w:rPr>
          <w:rFonts w:ascii="Bryant Pro Regular" w:hAnsi="Bryant Pro Regular"/>
        </w:rPr>
      </w:pPr>
      <w:r w:rsidRPr="002B49B0">
        <w:rPr>
          <w:rFonts w:ascii="Bryant Pro Regular" w:hAnsi="Bryant Pro Regular"/>
        </w:rPr>
        <w:t>SYNLAIT MILK LIMITED</w:t>
      </w:r>
    </w:p>
    <w:p w:rsidR="00AA5731" w:rsidRPr="002B49B0" w:rsidRDefault="00B05EA3" w:rsidP="00185A28">
      <w:pPr>
        <w:pStyle w:val="Subtitle"/>
        <w:rPr>
          <w:rFonts w:ascii="Bryant Pro Regular" w:hAnsi="Bryant Pro Regular"/>
        </w:rPr>
      </w:pPr>
      <w:r w:rsidRPr="002B49B0">
        <w:rPr>
          <w:rFonts w:ascii="Bryant Pro Regular" w:hAnsi="Bryant Pro Regular"/>
        </w:rPr>
        <w:t>Half</w:t>
      </w:r>
      <w:r w:rsidR="000B402E" w:rsidRPr="002B49B0">
        <w:rPr>
          <w:rFonts w:ascii="Bryant Pro Regular" w:hAnsi="Bryant Pro Regular"/>
        </w:rPr>
        <w:t xml:space="preserve"> Year Ended 31 </w:t>
      </w:r>
      <w:r w:rsidRPr="002B49B0">
        <w:rPr>
          <w:rFonts w:ascii="Bryant Pro Regular" w:hAnsi="Bryant Pro Regular"/>
        </w:rPr>
        <w:t>January 2017</w:t>
      </w:r>
      <w:r w:rsidR="000B402E" w:rsidRPr="002B49B0">
        <w:rPr>
          <w:rFonts w:ascii="Bryant Pro Regular" w:hAnsi="Bryant Pro Regular"/>
        </w:rPr>
        <w:t xml:space="preserve"> (referred to in this report as the "current </w:t>
      </w:r>
      <w:r w:rsidRPr="002B49B0">
        <w:rPr>
          <w:rFonts w:ascii="Bryant Pro Regular" w:hAnsi="Bryant Pro Regular"/>
        </w:rPr>
        <w:t>Half</w:t>
      </w:r>
      <w:r w:rsidR="000B402E" w:rsidRPr="002B49B0">
        <w:rPr>
          <w:rFonts w:ascii="Bryant Pro Regular" w:hAnsi="Bryant Pro Regular"/>
        </w:rPr>
        <w:t xml:space="preserve"> year")</w:t>
      </w:r>
    </w:p>
    <w:p w:rsidR="000B402E" w:rsidRPr="002B49B0" w:rsidRDefault="000B402E" w:rsidP="000B402E">
      <w:pPr>
        <w:autoSpaceDE w:val="0"/>
        <w:autoSpaceDN w:val="0"/>
        <w:adjustRightInd w:val="0"/>
        <w:spacing w:before="0" w:after="0" w:line="240" w:lineRule="auto"/>
        <w:rPr>
          <w:rFonts w:ascii="Bryant Pro Regular" w:hAnsi="Bryant Pro Regular" w:cs="Arial"/>
          <w:b/>
          <w:bCs/>
          <w:sz w:val="18"/>
          <w:szCs w:val="18"/>
        </w:rPr>
      </w:pPr>
    </w:p>
    <w:p w:rsidR="000B402E" w:rsidRPr="002B49B0" w:rsidRDefault="000B402E" w:rsidP="00B117E6">
      <w:pPr>
        <w:pStyle w:val="Heading2"/>
        <w:ind w:left="567" w:hanging="567"/>
        <w:rPr>
          <w:rFonts w:ascii="Bryant Pro Regular" w:hAnsi="Bryant Pro Regular"/>
        </w:rPr>
      </w:pPr>
      <w:r w:rsidRPr="002B49B0">
        <w:rPr>
          <w:rFonts w:ascii="Bryant Pro Regular" w:hAnsi="Bryant Pro Regular"/>
        </w:rPr>
        <w:t>Details of the reporting period and the previous reporting period</w:t>
      </w:r>
    </w:p>
    <w:p w:rsidR="000B402E" w:rsidRPr="002B49B0" w:rsidRDefault="000B402E" w:rsidP="002B49B0">
      <w:pPr>
        <w:pStyle w:val="BodyText"/>
      </w:pPr>
      <w:r w:rsidRPr="002B49B0">
        <w:t>The reporting period is for the</w:t>
      </w:r>
      <w:r w:rsidR="00B05EA3" w:rsidRPr="002B49B0">
        <w:t xml:space="preserve"> half</w:t>
      </w:r>
      <w:r w:rsidRPr="002B49B0">
        <w:t xml:space="preserve"> year ended 31 </w:t>
      </w:r>
      <w:r w:rsidR="00B05EA3" w:rsidRPr="002B49B0">
        <w:t>January</w:t>
      </w:r>
      <w:r w:rsidRPr="002B49B0">
        <w:t xml:space="preserve"> 201</w:t>
      </w:r>
      <w:r w:rsidR="00B05EA3" w:rsidRPr="002B49B0">
        <w:t>7</w:t>
      </w:r>
      <w:r w:rsidRPr="002B49B0">
        <w:t xml:space="preserve"> with the comparative period being for the year ended 31 </w:t>
      </w:r>
      <w:r w:rsidR="00B05EA3" w:rsidRPr="002B49B0">
        <w:t>January</w:t>
      </w:r>
      <w:r w:rsidRPr="002B49B0">
        <w:t xml:space="preserve"> 201</w:t>
      </w:r>
      <w:r w:rsidR="00B05EA3" w:rsidRPr="002B49B0">
        <w:t>6</w:t>
      </w:r>
      <w:r w:rsidRPr="002B49B0">
        <w:t>.</w:t>
      </w:r>
    </w:p>
    <w:p w:rsidR="000B402E" w:rsidRPr="002B49B0" w:rsidRDefault="000B402E" w:rsidP="00B117E6">
      <w:pPr>
        <w:pStyle w:val="Heading2"/>
        <w:ind w:left="567" w:hanging="567"/>
        <w:rPr>
          <w:rFonts w:ascii="Bryant Pro Regular" w:hAnsi="Bryant Pro Regular" w:cs="Arial"/>
          <w:b/>
          <w:sz w:val="18"/>
          <w:szCs w:val="18"/>
        </w:rPr>
      </w:pPr>
      <w:r w:rsidRPr="002B49B0">
        <w:rPr>
          <w:rFonts w:ascii="Bryant Pro Regular" w:hAnsi="Bryant Pro Regular"/>
        </w:rPr>
        <w:t>Information prescribed by NZX</w:t>
      </w:r>
    </w:p>
    <w:p w:rsidR="000B402E" w:rsidRPr="002B49B0" w:rsidRDefault="000B402E" w:rsidP="002B49B0">
      <w:pPr>
        <w:pStyle w:val="BodyText"/>
      </w:pPr>
      <w:r w:rsidRPr="002B49B0">
        <w:t xml:space="preserve">Refer </w:t>
      </w:r>
      <w:r w:rsidR="00117CAF" w:rsidRPr="002B49B0">
        <w:t xml:space="preserve">above </w:t>
      </w:r>
      <w:r w:rsidRPr="002B49B0">
        <w:t xml:space="preserve">to </w:t>
      </w:r>
      <w:r w:rsidR="00117CAF" w:rsidRPr="002B49B0">
        <w:t>“</w:t>
      </w:r>
      <w:r w:rsidRPr="002B49B0">
        <w:t>Results for announcement to the market</w:t>
      </w:r>
      <w:r w:rsidR="00117CAF" w:rsidRPr="002B49B0">
        <w:t>”</w:t>
      </w:r>
      <w:r w:rsidRPr="002B49B0">
        <w:t>.</w:t>
      </w:r>
    </w:p>
    <w:p w:rsidR="00AA5731" w:rsidRPr="002B49B0" w:rsidRDefault="000B402E" w:rsidP="00AA5731">
      <w:pPr>
        <w:pStyle w:val="Heading2"/>
        <w:ind w:left="567" w:hanging="567"/>
        <w:rPr>
          <w:rFonts w:ascii="Bryant Pro Regular" w:hAnsi="Bryant Pro Regular"/>
        </w:rPr>
      </w:pPr>
      <w:r w:rsidRPr="002B49B0">
        <w:rPr>
          <w:rFonts w:ascii="Bryant Pro Regular" w:hAnsi="Bryant Pro Regular"/>
        </w:rPr>
        <w:t>The following information, which may be presented in whatever way the Issuer considers, is the most clear and helpful to users e.g. combined with notes to the financial statements or set out separately.</w:t>
      </w:r>
    </w:p>
    <w:p w:rsidR="000B402E" w:rsidRPr="002B49B0" w:rsidRDefault="000B402E" w:rsidP="0031316B">
      <w:pPr>
        <w:pStyle w:val="Heading3"/>
        <w:numPr>
          <w:ilvl w:val="4"/>
          <w:numId w:val="10"/>
        </w:numPr>
        <w:ind w:left="993"/>
        <w:rPr>
          <w:rFonts w:ascii="Bryant Pro Regular" w:hAnsi="Bryant Pro Regular"/>
        </w:rPr>
      </w:pPr>
      <w:r w:rsidRPr="002B49B0">
        <w:rPr>
          <w:rFonts w:ascii="Bryant Pro Regular" w:hAnsi="Bryant Pro Regular"/>
        </w:rPr>
        <w:t>A Statement of Financial Performance</w:t>
      </w:r>
    </w:p>
    <w:p w:rsidR="000B402E" w:rsidRPr="002B49B0" w:rsidRDefault="000B402E" w:rsidP="002B49B0">
      <w:pPr>
        <w:pStyle w:val="BodyText"/>
        <w:ind w:left="840" w:firstLine="153"/>
      </w:pPr>
      <w:r w:rsidRPr="002B49B0">
        <w:t>Refer to the financial statements.</w:t>
      </w:r>
    </w:p>
    <w:p w:rsidR="000B402E" w:rsidRPr="002B49B0" w:rsidRDefault="000B402E" w:rsidP="0031316B">
      <w:pPr>
        <w:pStyle w:val="Heading3"/>
        <w:numPr>
          <w:ilvl w:val="4"/>
          <w:numId w:val="10"/>
        </w:numPr>
        <w:ind w:left="993"/>
        <w:rPr>
          <w:rFonts w:ascii="Bryant Pro Regular" w:hAnsi="Bryant Pro Regular"/>
        </w:rPr>
      </w:pPr>
      <w:r w:rsidRPr="002B49B0">
        <w:rPr>
          <w:rFonts w:ascii="Bryant Pro Regular" w:hAnsi="Bryant Pro Regular"/>
        </w:rPr>
        <w:t>A Statement of Financial Position</w:t>
      </w:r>
    </w:p>
    <w:p w:rsidR="000B402E" w:rsidRPr="002B49B0" w:rsidRDefault="000B402E" w:rsidP="002B49B0">
      <w:pPr>
        <w:pStyle w:val="BodyText"/>
        <w:ind w:left="840" w:firstLine="153"/>
      </w:pPr>
      <w:r w:rsidRPr="002B49B0">
        <w:t>Refer to the financial statements.</w:t>
      </w:r>
    </w:p>
    <w:p w:rsidR="000B402E" w:rsidRPr="002B49B0" w:rsidRDefault="000B402E" w:rsidP="0031316B">
      <w:pPr>
        <w:pStyle w:val="Heading3"/>
        <w:numPr>
          <w:ilvl w:val="4"/>
          <w:numId w:val="10"/>
        </w:numPr>
        <w:ind w:left="993"/>
        <w:rPr>
          <w:rFonts w:ascii="Bryant Pro Regular" w:hAnsi="Bryant Pro Regular"/>
        </w:rPr>
      </w:pPr>
      <w:r w:rsidRPr="002B49B0">
        <w:rPr>
          <w:rFonts w:ascii="Bryant Pro Regular" w:hAnsi="Bryant Pro Regular"/>
        </w:rPr>
        <w:t>A Statement of Cash Flows</w:t>
      </w:r>
    </w:p>
    <w:p w:rsidR="000B402E" w:rsidRPr="002B49B0" w:rsidRDefault="000B402E" w:rsidP="002B49B0">
      <w:pPr>
        <w:pStyle w:val="BodyText"/>
        <w:ind w:left="840" w:firstLine="153"/>
        <w:rPr>
          <w:rFonts w:cs="Arial"/>
          <w:sz w:val="18"/>
          <w:szCs w:val="18"/>
        </w:rPr>
      </w:pPr>
      <w:r w:rsidRPr="002B49B0">
        <w:t>Refer to the financial statements.</w:t>
      </w:r>
    </w:p>
    <w:p w:rsidR="000B402E" w:rsidRPr="002B49B0" w:rsidRDefault="000B402E" w:rsidP="0031316B">
      <w:pPr>
        <w:pStyle w:val="Heading3"/>
        <w:numPr>
          <w:ilvl w:val="4"/>
          <w:numId w:val="10"/>
        </w:numPr>
        <w:ind w:left="993"/>
        <w:rPr>
          <w:rFonts w:ascii="Bryant Pro Regular" w:hAnsi="Bryant Pro Regular"/>
        </w:rPr>
      </w:pPr>
      <w:r w:rsidRPr="002B49B0">
        <w:rPr>
          <w:rFonts w:ascii="Bryant Pro Regular" w:hAnsi="Bryant Pro Regular"/>
        </w:rPr>
        <w:t>Details of individual and total dividends or distributions and dividend or distribution payments. The details must include the date on which each dividend or distribution is payable and (if known) the amount per security of foreign sourced dividends or distributions.</w:t>
      </w:r>
    </w:p>
    <w:tbl>
      <w:tblPr>
        <w:tblStyle w:val="LightList-Accent1"/>
        <w:tblpPr w:leftFromText="180" w:rightFromText="180" w:vertAnchor="text" w:horzAnchor="margin" w:tblpXSpec="right" w:tblpY="134"/>
        <w:tblW w:w="0" w:type="auto"/>
        <w:tblLook w:val="04A0" w:firstRow="1" w:lastRow="0" w:firstColumn="1" w:lastColumn="0" w:noHBand="0" w:noVBand="1"/>
      </w:tblPr>
      <w:tblGrid>
        <w:gridCol w:w="3261"/>
        <w:gridCol w:w="2399"/>
        <w:gridCol w:w="2977"/>
      </w:tblGrid>
      <w:tr w:rsidR="000077F7" w:rsidRPr="002B49B0" w:rsidTr="00921A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0077F7" w:rsidRPr="002B49B0" w:rsidRDefault="000077F7" w:rsidP="000077F7">
            <w:pPr>
              <w:overflowPunct w:val="0"/>
              <w:autoSpaceDE w:val="0"/>
              <w:autoSpaceDN w:val="0"/>
              <w:adjustRightInd w:val="0"/>
              <w:spacing w:before="0" w:after="0"/>
              <w:jc w:val="both"/>
              <w:textAlignment w:val="baseline"/>
              <w:rPr>
                <w:rFonts w:ascii="Bryant Pro Regular" w:eastAsia="Times New Roman" w:hAnsi="Bryant Pro Regular" w:cs="Arial"/>
                <w:szCs w:val="20"/>
              </w:rPr>
            </w:pPr>
            <w:r w:rsidRPr="002B49B0">
              <w:rPr>
                <w:rFonts w:ascii="Bryant Pro Regular" w:eastAsia="Times New Roman" w:hAnsi="Bryant Pro Regular" w:cs="Arial"/>
                <w:szCs w:val="20"/>
              </w:rPr>
              <w:t>Interim/Final Dividend</w:t>
            </w:r>
          </w:p>
        </w:tc>
        <w:tc>
          <w:tcPr>
            <w:tcW w:w="2399" w:type="dxa"/>
          </w:tcPr>
          <w:p w:rsidR="000077F7" w:rsidRPr="002B49B0" w:rsidRDefault="000077F7" w:rsidP="000077F7">
            <w:pPr>
              <w:overflowPunct w:val="0"/>
              <w:autoSpaceDE w:val="0"/>
              <w:autoSpaceDN w:val="0"/>
              <w:adjustRightInd w:val="0"/>
              <w:spacing w:before="0" w:after="0"/>
              <w:jc w:val="right"/>
              <w:textAlignment w:val="baseline"/>
              <w:cnfStyle w:val="100000000000" w:firstRow="1" w:lastRow="0" w:firstColumn="0" w:lastColumn="0" w:oddVBand="0" w:evenVBand="0" w:oddHBand="0" w:evenHBand="0" w:firstRowFirstColumn="0" w:firstRowLastColumn="0" w:lastRowFirstColumn="0" w:lastRowLastColumn="0"/>
              <w:rPr>
                <w:rFonts w:ascii="Bryant Pro Regular" w:eastAsia="Times New Roman" w:hAnsi="Bryant Pro Regular" w:cs="Arial"/>
                <w:szCs w:val="20"/>
              </w:rPr>
            </w:pPr>
            <w:r w:rsidRPr="002B49B0">
              <w:rPr>
                <w:rFonts w:ascii="Bryant Pro Regular" w:eastAsia="Times New Roman" w:hAnsi="Bryant Pro Regular" w:cs="Arial"/>
                <w:szCs w:val="20"/>
              </w:rPr>
              <w:t>Amount per security</w:t>
            </w:r>
          </w:p>
        </w:tc>
        <w:tc>
          <w:tcPr>
            <w:tcW w:w="2977" w:type="dxa"/>
          </w:tcPr>
          <w:p w:rsidR="000077F7" w:rsidRPr="002B49B0" w:rsidRDefault="000077F7" w:rsidP="000077F7">
            <w:pPr>
              <w:overflowPunct w:val="0"/>
              <w:autoSpaceDE w:val="0"/>
              <w:autoSpaceDN w:val="0"/>
              <w:adjustRightInd w:val="0"/>
              <w:spacing w:before="0" w:after="0"/>
              <w:jc w:val="right"/>
              <w:textAlignment w:val="baseline"/>
              <w:cnfStyle w:val="100000000000" w:firstRow="1" w:lastRow="0" w:firstColumn="0" w:lastColumn="0" w:oddVBand="0" w:evenVBand="0" w:oddHBand="0" w:evenHBand="0" w:firstRowFirstColumn="0" w:firstRowLastColumn="0" w:lastRowFirstColumn="0" w:lastRowLastColumn="0"/>
              <w:rPr>
                <w:rFonts w:ascii="Bryant Pro Regular" w:eastAsia="Times New Roman" w:hAnsi="Bryant Pro Regular" w:cs="Arial"/>
                <w:szCs w:val="20"/>
              </w:rPr>
            </w:pPr>
            <w:r w:rsidRPr="002B49B0">
              <w:rPr>
                <w:rFonts w:ascii="Bryant Pro Regular" w:eastAsia="Times New Roman" w:hAnsi="Bryant Pro Regular" w:cs="Arial"/>
                <w:szCs w:val="20"/>
              </w:rPr>
              <w:t>Imputed amount per security</w:t>
            </w:r>
          </w:p>
        </w:tc>
      </w:tr>
      <w:tr w:rsidR="000077F7" w:rsidRPr="002B49B0" w:rsidTr="00921A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0077F7" w:rsidRPr="002B49B0" w:rsidRDefault="00921A2B" w:rsidP="00921A2B">
            <w:pPr>
              <w:overflowPunct w:val="0"/>
              <w:autoSpaceDE w:val="0"/>
              <w:autoSpaceDN w:val="0"/>
              <w:adjustRightInd w:val="0"/>
              <w:spacing w:before="0" w:after="0"/>
              <w:textAlignment w:val="baseline"/>
              <w:rPr>
                <w:rFonts w:ascii="Bryant Pro Regular" w:eastAsia="Times New Roman" w:hAnsi="Bryant Pro Regular" w:cs="Arial"/>
                <w:color w:val="FFFFFF" w:themeColor="background1"/>
                <w:szCs w:val="20"/>
              </w:rPr>
            </w:pPr>
            <w:r w:rsidRPr="002B49B0">
              <w:rPr>
                <w:rFonts w:ascii="Bryant Pro Regular" w:eastAsia="Times New Roman" w:hAnsi="Bryant Pro Regular" w:cs="Arial"/>
                <w:b w:val="0"/>
                <w:szCs w:val="20"/>
              </w:rPr>
              <w:t>No dividend is proposed</w:t>
            </w:r>
          </w:p>
        </w:tc>
        <w:tc>
          <w:tcPr>
            <w:tcW w:w="2399" w:type="dxa"/>
          </w:tcPr>
          <w:p w:rsidR="000077F7" w:rsidRPr="002B49B0" w:rsidRDefault="00921A2B" w:rsidP="000077F7">
            <w:pPr>
              <w:overflowPunct w:val="0"/>
              <w:autoSpaceDE w:val="0"/>
              <w:autoSpaceDN w:val="0"/>
              <w:adjustRightInd w:val="0"/>
              <w:spacing w:before="0" w:after="0"/>
              <w:jc w:val="right"/>
              <w:textAlignment w:val="baseline"/>
              <w:cnfStyle w:val="000000100000" w:firstRow="0" w:lastRow="0" w:firstColumn="0" w:lastColumn="0" w:oddVBand="0" w:evenVBand="0" w:oddHBand="1" w:evenHBand="0" w:firstRowFirstColumn="0" w:firstRowLastColumn="0" w:lastRowFirstColumn="0" w:lastRowLastColumn="0"/>
              <w:rPr>
                <w:rFonts w:ascii="Bryant Pro Regular" w:eastAsia="Times New Roman" w:hAnsi="Bryant Pro Regular" w:cs="Arial"/>
                <w:szCs w:val="20"/>
              </w:rPr>
            </w:pPr>
            <w:r w:rsidRPr="002B49B0">
              <w:rPr>
                <w:rFonts w:ascii="Bryant Pro Regular" w:eastAsia="Times New Roman" w:hAnsi="Bryant Pro Regular" w:cs="Arial"/>
                <w:szCs w:val="20"/>
              </w:rPr>
              <w:t>$nil</w:t>
            </w:r>
          </w:p>
        </w:tc>
        <w:tc>
          <w:tcPr>
            <w:tcW w:w="2977" w:type="dxa"/>
          </w:tcPr>
          <w:p w:rsidR="000077F7" w:rsidRPr="002B49B0" w:rsidRDefault="00921A2B" w:rsidP="000077F7">
            <w:pPr>
              <w:overflowPunct w:val="0"/>
              <w:autoSpaceDE w:val="0"/>
              <w:autoSpaceDN w:val="0"/>
              <w:adjustRightInd w:val="0"/>
              <w:spacing w:before="0" w:after="0"/>
              <w:jc w:val="right"/>
              <w:textAlignment w:val="baseline"/>
              <w:cnfStyle w:val="000000100000" w:firstRow="0" w:lastRow="0" w:firstColumn="0" w:lastColumn="0" w:oddVBand="0" w:evenVBand="0" w:oddHBand="1" w:evenHBand="0" w:firstRowFirstColumn="0" w:firstRowLastColumn="0" w:lastRowFirstColumn="0" w:lastRowLastColumn="0"/>
              <w:rPr>
                <w:rFonts w:ascii="Bryant Pro Regular" w:eastAsia="Times New Roman" w:hAnsi="Bryant Pro Regular" w:cs="Arial"/>
                <w:color w:val="FFFFFF" w:themeColor="background1"/>
                <w:szCs w:val="20"/>
              </w:rPr>
            </w:pPr>
            <w:r w:rsidRPr="002B49B0">
              <w:rPr>
                <w:rFonts w:ascii="Bryant Pro Regular" w:eastAsia="Times New Roman" w:hAnsi="Bryant Pro Regular" w:cs="Arial"/>
                <w:szCs w:val="20"/>
              </w:rPr>
              <w:t>$nil</w:t>
            </w:r>
          </w:p>
        </w:tc>
      </w:tr>
    </w:tbl>
    <w:p w:rsidR="000B402E" w:rsidRPr="002B49B0" w:rsidRDefault="000B402E" w:rsidP="000B402E">
      <w:pPr>
        <w:autoSpaceDE w:val="0"/>
        <w:autoSpaceDN w:val="0"/>
        <w:adjustRightInd w:val="0"/>
        <w:spacing w:before="0" w:after="0" w:line="240" w:lineRule="auto"/>
        <w:rPr>
          <w:rFonts w:ascii="Bryant Pro Regular" w:hAnsi="Bryant Pro Regular" w:cs="Arial"/>
          <w:sz w:val="18"/>
          <w:szCs w:val="18"/>
        </w:rPr>
      </w:pPr>
    </w:p>
    <w:p w:rsidR="00185A28" w:rsidRPr="002B49B0" w:rsidRDefault="00185A28" w:rsidP="000B402E">
      <w:pPr>
        <w:autoSpaceDE w:val="0"/>
        <w:autoSpaceDN w:val="0"/>
        <w:adjustRightInd w:val="0"/>
        <w:spacing w:before="0" w:after="0" w:line="240" w:lineRule="auto"/>
        <w:rPr>
          <w:rFonts w:ascii="Bryant Pro Regular" w:hAnsi="Bryant Pro Regular" w:cs="Arial"/>
          <w:b/>
          <w:bCs/>
          <w:sz w:val="18"/>
          <w:szCs w:val="18"/>
        </w:rPr>
      </w:pPr>
    </w:p>
    <w:p w:rsidR="00185A28" w:rsidRPr="002B49B0" w:rsidRDefault="00185A28" w:rsidP="000B402E">
      <w:pPr>
        <w:autoSpaceDE w:val="0"/>
        <w:autoSpaceDN w:val="0"/>
        <w:adjustRightInd w:val="0"/>
        <w:spacing w:before="0" w:after="0" w:line="240" w:lineRule="auto"/>
        <w:rPr>
          <w:rFonts w:ascii="Bryant Pro Regular" w:hAnsi="Bryant Pro Regular" w:cs="Arial"/>
          <w:b/>
          <w:bCs/>
          <w:sz w:val="18"/>
          <w:szCs w:val="18"/>
        </w:rPr>
      </w:pPr>
    </w:p>
    <w:p w:rsidR="00185A28" w:rsidRPr="002B49B0" w:rsidRDefault="00185A28" w:rsidP="000B402E">
      <w:pPr>
        <w:autoSpaceDE w:val="0"/>
        <w:autoSpaceDN w:val="0"/>
        <w:adjustRightInd w:val="0"/>
        <w:spacing w:before="0" w:after="0" w:line="240" w:lineRule="auto"/>
        <w:rPr>
          <w:rFonts w:ascii="Bryant Pro Regular" w:hAnsi="Bryant Pro Regular" w:cs="Arial"/>
          <w:b/>
          <w:bCs/>
          <w:sz w:val="18"/>
          <w:szCs w:val="18"/>
        </w:rPr>
      </w:pPr>
    </w:p>
    <w:p w:rsidR="000B402E" w:rsidRPr="002B49B0" w:rsidRDefault="000B402E" w:rsidP="0031316B">
      <w:pPr>
        <w:pStyle w:val="Heading3"/>
        <w:numPr>
          <w:ilvl w:val="4"/>
          <w:numId w:val="10"/>
        </w:numPr>
        <w:ind w:left="993"/>
        <w:rPr>
          <w:rFonts w:ascii="Bryant Pro Regular" w:hAnsi="Bryant Pro Regular"/>
        </w:rPr>
      </w:pPr>
      <w:r w:rsidRPr="002B49B0">
        <w:rPr>
          <w:rFonts w:ascii="Bryant Pro Regular" w:hAnsi="Bryant Pro Regular"/>
        </w:rPr>
        <w:t>Details of any dividend or distribution reinvestment plans in operation and the last date for the receipt of an election notice for participation in any dividend or distribution reinvestment plan.</w:t>
      </w:r>
    </w:p>
    <w:p w:rsidR="000B402E" w:rsidRPr="002B49B0" w:rsidRDefault="000B402E" w:rsidP="002B49B0">
      <w:pPr>
        <w:pStyle w:val="BodyText"/>
        <w:ind w:left="840" w:firstLine="153"/>
        <w:rPr>
          <w:rFonts w:cs="Arial"/>
          <w:sz w:val="18"/>
          <w:szCs w:val="18"/>
        </w:rPr>
      </w:pPr>
      <w:r w:rsidRPr="002B49B0">
        <w:t>The company has no dividend reinvestment plan.</w:t>
      </w:r>
    </w:p>
    <w:p w:rsidR="000B402E" w:rsidRPr="002B49B0" w:rsidRDefault="000B402E" w:rsidP="0031316B">
      <w:pPr>
        <w:pStyle w:val="Heading3"/>
        <w:numPr>
          <w:ilvl w:val="4"/>
          <w:numId w:val="10"/>
        </w:numPr>
        <w:ind w:left="993"/>
        <w:rPr>
          <w:rFonts w:ascii="Bryant Pro Regular" w:hAnsi="Bryant Pro Regular" w:cs="Arial"/>
          <w:b/>
          <w:bCs w:val="0"/>
          <w:sz w:val="18"/>
          <w:szCs w:val="18"/>
        </w:rPr>
      </w:pPr>
      <w:r w:rsidRPr="002B49B0">
        <w:rPr>
          <w:rFonts w:ascii="Bryant Pro Regular" w:hAnsi="Bryant Pro Regular"/>
        </w:rPr>
        <w:t>A Statement of Movements in Equity</w:t>
      </w:r>
    </w:p>
    <w:p w:rsidR="000B402E" w:rsidRPr="002B49B0" w:rsidRDefault="000B402E" w:rsidP="002B49B0">
      <w:pPr>
        <w:pStyle w:val="BodyText"/>
        <w:ind w:left="840" w:firstLine="153"/>
      </w:pPr>
      <w:r w:rsidRPr="002B49B0">
        <w:t>Refer to the financial statements.</w:t>
      </w:r>
    </w:p>
    <w:p w:rsidR="00D868B3" w:rsidRPr="002B49B0" w:rsidRDefault="000B402E" w:rsidP="0031316B">
      <w:pPr>
        <w:pStyle w:val="Heading3"/>
        <w:numPr>
          <w:ilvl w:val="4"/>
          <w:numId w:val="10"/>
        </w:numPr>
        <w:ind w:left="993"/>
        <w:rPr>
          <w:rFonts w:ascii="Bryant Pro Regular" w:hAnsi="Bryant Pro Regular"/>
        </w:rPr>
      </w:pPr>
      <w:r w:rsidRPr="002B49B0">
        <w:rPr>
          <w:rFonts w:ascii="Bryant Pro Regular" w:hAnsi="Bryant Pro Regular"/>
        </w:rPr>
        <w:t>Net tangible assets per security with the comparative figure for the previous corresponding period</w:t>
      </w:r>
    </w:p>
    <w:tbl>
      <w:tblPr>
        <w:tblStyle w:val="LightList-Accent1"/>
        <w:tblpPr w:leftFromText="180" w:rightFromText="180" w:vertAnchor="text" w:horzAnchor="margin" w:tblpXSpec="right" w:tblpY="134"/>
        <w:tblW w:w="0" w:type="auto"/>
        <w:tblLook w:val="04A0" w:firstRow="1" w:lastRow="0" w:firstColumn="1" w:lastColumn="0" w:noHBand="0" w:noVBand="1"/>
      </w:tblPr>
      <w:tblGrid>
        <w:gridCol w:w="3261"/>
        <w:gridCol w:w="2399"/>
        <w:gridCol w:w="2977"/>
      </w:tblGrid>
      <w:tr w:rsidR="00D868B3" w:rsidRPr="002B49B0" w:rsidTr="006E77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D868B3" w:rsidRPr="002B49B0" w:rsidRDefault="00D868B3" w:rsidP="006E7710">
            <w:pPr>
              <w:overflowPunct w:val="0"/>
              <w:autoSpaceDE w:val="0"/>
              <w:autoSpaceDN w:val="0"/>
              <w:adjustRightInd w:val="0"/>
              <w:spacing w:before="0" w:after="0"/>
              <w:jc w:val="both"/>
              <w:textAlignment w:val="baseline"/>
              <w:rPr>
                <w:rFonts w:ascii="Bryant Pro Regular" w:eastAsia="Times New Roman" w:hAnsi="Bryant Pro Regular" w:cs="Arial"/>
                <w:szCs w:val="20"/>
              </w:rPr>
            </w:pPr>
            <w:r w:rsidRPr="002B49B0">
              <w:rPr>
                <w:rFonts w:ascii="Bryant Pro Regular" w:eastAsia="Times New Roman" w:hAnsi="Bryant Pro Regular" w:cs="Arial"/>
                <w:szCs w:val="20"/>
              </w:rPr>
              <w:t>NZ cents per share</w:t>
            </w:r>
          </w:p>
        </w:tc>
        <w:tc>
          <w:tcPr>
            <w:tcW w:w="2399" w:type="dxa"/>
          </w:tcPr>
          <w:p w:rsidR="00D868B3" w:rsidRPr="002B49B0" w:rsidRDefault="00D868B3" w:rsidP="006E7710">
            <w:pPr>
              <w:overflowPunct w:val="0"/>
              <w:autoSpaceDE w:val="0"/>
              <w:autoSpaceDN w:val="0"/>
              <w:adjustRightInd w:val="0"/>
              <w:spacing w:before="0" w:after="0"/>
              <w:jc w:val="right"/>
              <w:textAlignment w:val="baseline"/>
              <w:cnfStyle w:val="100000000000" w:firstRow="1" w:lastRow="0" w:firstColumn="0" w:lastColumn="0" w:oddVBand="0" w:evenVBand="0" w:oddHBand="0" w:evenHBand="0" w:firstRowFirstColumn="0" w:firstRowLastColumn="0" w:lastRowFirstColumn="0" w:lastRowLastColumn="0"/>
              <w:rPr>
                <w:rFonts w:ascii="Bryant Pro Regular" w:eastAsia="Times New Roman" w:hAnsi="Bryant Pro Regular" w:cs="Arial"/>
                <w:szCs w:val="20"/>
              </w:rPr>
            </w:pPr>
            <w:r w:rsidRPr="002B49B0">
              <w:rPr>
                <w:rFonts w:ascii="Bryant Pro Regular" w:eastAsia="Times New Roman" w:hAnsi="Bryant Pro Regular" w:cs="Arial"/>
                <w:szCs w:val="20"/>
              </w:rPr>
              <w:t xml:space="preserve">Current </w:t>
            </w:r>
            <w:r w:rsidR="00B05EA3" w:rsidRPr="002B49B0">
              <w:rPr>
                <w:rFonts w:ascii="Bryant Pro Regular" w:eastAsia="Times New Roman" w:hAnsi="Bryant Pro Regular" w:cs="Arial"/>
                <w:szCs w:val="20"/>
              </w:rPr>
              <w:t xml:space="preserve">half </w:t>
            </w:r>
            <w:r w:rsidRPr="002B49B0">
              <w:rPr>
                <w:rFonts w:ascii="Bryant Pro Regular" w:eastAsia="Times New Roman" w:hAnsi="Bryant Pro Regular" w:cs="Arial"/>
                <w:szCs w:val="20"/>
              </w:rPr>
              <w:t>year</w:t>
            </w:r>
          </w:p>
        </w:tc>
        <w:tc>
          <w:tcPr>
            <w:tcW w:w="2977" w:type="dxa"/>
          </w:tcPr>
          <w:p w:rsidR="00D868B3" w:rsidRPr="002B49B0" w:rsidRDefault="00D868B3" w:rsidP="006E7710">
            <w:pPr>
              <w:overflowPunct w:val="0"/>
              <w:autoSpaceDE w:val="0"/>
              <w:autoSpaceDN w:val="0"/>
              <w:adjustRightInd w:val="0"/>
              <w:spacing w:before="0" w:after="0"/>
              <w:jc w:val="right"/>
              <w:textAlignment w:val="baseline"/>
              <w:cnfStyle w:val="100000000000" w:firstRow="1" w:lastRow="0" w:firstColumn="0" w:lastColumn="0" w:oddVBand="0" w:evenVBand="0" w:oddHBand="0" w:evenHBand="0" w:firstRowFirstColumn="0" w:firstRowLastColumn="0" w:lastRowFirstColumn="0" w:lastRowLastColumn="0"/>
              <w:rPr>
                <w:rFonts w:ascii="Bryant Pro Regular" w:eastAsia="Times New Roman" w:hAnsi="Bryant Pro Regular" w:cs="Arial"/>
                <w:szCs w:val="20"/>
              </w:rPr>
            </w:pPr>
            <w:r w:rsidRPr="002B49B0">
              <w:rPr>
                <w:rFonts w:ascii="Bryant Pro Regular" w:eastAsia="Times New Roman" w:hAnsi="Bryant Pro Regular" w:cs="Arial"/>
                <w:szCs w:val="20"/>
              </w:rPr>
              <w:t xml:space="preserve">Previous </w:t>
            </w:r>
            <w:r w:rsidR="00B05EA3" w:rsidRPr="002B49B0">
              <w:rPr>
                <w:rFonts w:ascii="Bryant Pro Regular" w:eastAsia="Times New Roman" w:hAnsi="Bryant Pro Regular" w:cs="Arial"/>
                <w:szCs w:val="20"/>
              </w:rPr>
              <w:t xml:space="preserve">half </w:t>
            </w:r>
            <w:r w:rsidRPr="002B49B0">
              <w:rPr>
                <w:rFonts w:ascii="Bryant Pro Regular" w:eastAsia="Times New Roman" w:hAnsi="Bryant Pro Regular" w:cs="Arial"/>
                <w:szCs w:val="20"/>
              </w:rPr>
              <w:t>year</w:t>
            </w:r>
          </w:p>
        </w:tc>
      </w:tr>
      <w:tr w:rsidR="00D868B3" w:rsidRPr="002B49B0" w:rsidTr="006E77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D868B3" w:rsidRPr="002B49B0" w:rsidRDefault="00D868B3" w:rsidP="006E7710">
            <w:pPr>
              <w:overflowPunct w:val="0"/>
              <w:autoSpaceDE w:val="0"/>
              <w:autoSpaceDN w:val="0"/>
              <w:adjustRightInd w:val="0"/>
              <w:spacing w:before="0" w:after="0"/>
              <w:textAlignment w:val="baseline"/>
              <w:rPr>
                <w:rFonts w:ascii="Bryant Pro Regular" w:eastAsia="Times New Roman" w:hAnsi="Bryant Pro Regular" w:cs="Arial"/>
                <w:color w:val="FFFFFF" w:themeColor="background1"/>
                <w:szCs w:val="20"/>
              </w:rPr>
            </w:pPr>
            <w:r w:rsidRPr="002B49B0">
              <w:rPr>
                <w:rFonts w:ascii="Bryant Pro Regular" w:eastAsia="Times New Roman" w:hAnsi="Bryant Pro Regular" w:cs="Arial"/>
                <w:b w:val="0"/>
                <w:szCs w:val="20"/>
              </w:rPr>
              <w:t>Ordinary Shares</w:t>
            </w:r>
          </w:p>
        </w:tc>
        <w:tc>
          <w:tcPr>
            <w:tcW w:w="2399" w:type="dxa"/>
          </w:tcPr>
          <w:p w:rsidR="00D868B3" w:rsidRPr="002B49B0" w:rsidRDefault="00D868B3" w:rsidP="006E7710">
            <w:pPr>
              <w:overflowPunct w:val="0"/>
              <w:autoSpaceDE w:val="0"/>
              <w:autoSpaceDN w:val="0"/>
              <w:adjustRightInd w:val="0"/>
              <w:spacing w:before="0" w:after="0"/>
              <w:jc w:val="right"/>
              <w:textAlignment w:val="baseline"/>
              <w:cnfStyle w:val="000000100000" w:firstRow="0" w:lastRow="0" w:firstColumn="0" w:lastColumn="0" w:oddVBand="0" w:evenVBand="0" w:oddHBand="1" w:evenHBand="0" w:firstRowFirstColumn="0" w:firstRowLastColumn="0" w:lastRowFirstColumn="0" w:lastRowLastColumn="0"/>
              <w:rPr>
                <w:rFonts w:ascii="Bryant Pro Regular" w:eastAsia="Times New Roman" w:hAnsi="Bryant Pro Regular" w:cs="Arial"/>
                <w:szCs w:val="20"/>
              </w:rPr>
            </w:pPr>
            <w:r w:rsidRPr="002B49B0">
              <w:rPr>
                <w:rFonts w:ascii="Bryant Pro Regular" w:eastAsia="Times New Roman" w:hAnsi="Bryant Pro Regular" w:cs="Arial"/>
                <w:color w:val="FFFFFF" w:themeColor="background1"/>
                <w:szCs w:val="20"/>
              </w:rPr>
              <w:t>$</w:t>
            </w:r>
            <w:r w:rsidR="00B02F7F" w:rsidRPr="00B02F7F">
              <w:rPr>
                <w:rFonts w:ascii="Bryant Pro Regular" w:eastAsia="Times New Roman" w:hAnsi="Bryant Pro Regular" w:cs="Arial"/>
                <w:szCs w:val="20"/>
              </w:rPr>
              <w:t>202</w:t>
            </w:r>
          </w:p>
        </w:tc>
        <w:tc>
          <w:tcPr>
            <w:tcW w:w="2977" w:type="dxa"/>
          </w:tcPr>
          <w:p w:rsidR="00D868B3" w:rsidRPr="002B49B0" w:rsidRDefault="00B05EA3" w:rsidP="006E7710">
            <w:pPr>
              <w:overflowPunct w:val="0"/>
              <w:autoSpaceDE w:val="0"/>
              <w:autoSpaceDN w:val="0"/>
              <w:adjustRightInd w:val="0"/>
              <w:spacing w:before="0" w:after="0"/>
              <w:jc w:val="right"/>
              <w:textAlignment w:val="baseline"/>
              <w:cnfStyle w:val="000000100000" w:firstRow="0" w:lastRow="0" w:firstColumn="0" w:lastColumn="0" w:oddVBand="0" w:evenVBand="0" w:oddHBand="1" w:evenHBand="0" w:firstRowFirstColumn="0" w:firstRowLastColumn="0" w:lastRowFirstColumn="0" w:lastRowLastColumn="0"/>
              <w:rPr>
                <w:rFonts w:ascii="Bryant Pro Regular" w:eastAsia="Times New Roman" w:hAnsi="Bryant Pro Regular" w:cs="Arial"/>
                <w:color w:val="FFFFFF" w:themeColor="background1"/>
                <w:szCs w:val="20"/>
              </w:rPr>
            </w:pPr>
            <w:r w:rsidRPr="002B49B0">
              <w:rPr>
                <w:rFonts w:ascii="Bryant Pro Regular" w:eastAsia="Times New Roman" w:hAnsi="Bryant Pro Regular" w:cs="Arial"/>
                <w:szCs w:val="20"/>
              </w:rPr>
              <w:t>131</w:t>
            </w:r>
          </w:p>
        </w:tc>
      </w:tr>
    </w:tbl>
    <w:p w:rsidR="000B402E" w:rsidRPr="002B49B0" w:rsidRDefault="000B402E" w:rsidP="00F73E7E">
      <w:pPr>
        <w:rPr>
          <w:rFonts w:ascii="Bryant Pro Regular" w:hAnsi="Bryant Pro Regular" w:cs="Arial"/>
          <w:sz w:val="18"/>
          <w:szCs w:val="18"/>
        </w:rPr>
      </w:pPr>
    </w:p>
    <w:p w:rsidR="00F73E7E" w:rsidRPr="002B49B0" w:rsidRDefault="00F73E7E" w:rsidP="00F73E7E">
      <w:pPr>
        <w:rPr>
          <w:rFonts w:ascii="Bryant Pro Regular" w:hAnsi="Bryant Pro Regular" w:cs="Arial"/>
          <w:sz w:val="18"/>
          <w:szCs w:val="18"/>
        </w:rPr>
      </w:pPr>
    </w:p>
    <w:p w:rsidR="00D868B3" w:rsidRPr="002B49B0" w:rsidRDefault="00D868B3" w:rsidP="00F73E7E">
      <w:pPr>
        <w:rPr>
          <w:rFonts w:ascii="Bryant Pro Regular" w:hAnsi="Bryant Pro Regular" w:cs="Arial"/>
          <w:sz w:val="18"/>
          <w:szCs w:val="18"/>
        </w:rPr>
      </w:pPr>
    </w:p>
    <w:p w:rsidR="000B402E" w:rsidRPr="002B49B0" w:rsidRDefault="000B402E" w:rsidP="0031316B">
      <w:pPr>
        <w:pStyle w:val="Heading3"/>
        <w:numPr>
          <w:ilvl w:val="4"/>
          <w:numId w:val="10"/>
        </w:numPr>
        <w:ind w:left="993"/>
        <w:rPr>
          <w:rFonts w:ascii="Bryant Pro Regular" w:hAnsi="Bryant Pro Regular"/>
        </w:rPr>
      </w:pPr>
      <w:r w:rsidRPr="002B49B0">
        <w:rPr>
          <w:rFonts w:ascii="Bryant Pro Regular" w:hAnsi="Bryant Pro Regular"/>
        </w:rPr>
        <w:t xml:space="preserve">Details of entities over which control has been gained or lost during the period </w:t>
      </w:r>
    </w:p>
    <w:p w:rsidR="000B402E" w:rsidRPr="002B49B0" w:rsidRDefault="000B402E" w:rsidP="00185A28">
      <w:pPr>
        <w:pStyle w:val="BodyText"/>
        <w:ind w:left="840" w:firstLine="153"/>
      </w:pPr>
      <w:r w:rsidRPr="002B49B0">
        <w:t>Parts (</w:t>
      </w:r>
      <w:proofErr w:type="spellStart"/>
      <w:r w:rsidRPr="002B49B0">
        <w:t>i</w:t>
      </w:r>
      <w:proofErr w:type="spellEnd"/>
      <w:r w:rsidRPr="002B49B0">
        <w:t>) to (iii) Entities over which control has been lost</w:t>
      </w:r>
      <w:r w:rsidR="0064110A" w:rsidRPr="002B49B0">
        <w:t>:</w:t>
      </w:r>
    </w:p>
    <w:p w:rsidR="000B402E" w:rsidRPr="002B49B0" w:rsidRDefault="000B402E" w:rsidP="002B49B0">
      <w:pPr>
        <w:pStyle w:val="BodyText"/>
        <w:ind w:left="840" w:firstLine="153"/>
      </w:pPr>
      <w:r w:rsidRPr="002B49B0">
        <w:t>Nil</w:t>
      </w:r>
      <w:r w:rsidR="0064110A" w:rsidRPr="002B49B0">
        <w:t>.</w:t>
      </w:r>
    </w:p>
    <w:p w:rsidR="000B402E" w:rsidRPr="002B49B0" w:rsidRDefault="000B402E" w:rsidP="00185A28">
      <w:pPr>
        <w:pStyle w:val="BodyText"/>
        <w:ind w:left="840" w:firstLine="153"/>
      </w:pPr>
      <w:r w:rsidRPr="002B49B0">
        <w:t>Parts (</w:t>
      </w:r>
      <w:proofErr w:type="spellStart"/>
      <w:r w:rsidRPr="002B49B0">
        <w:t>i</w:t>
      </w:r>
      <w:proofErr w:type="spellEnd"/>
      <w:r w:rsidRPr="002B49B0">
        <w:t>) to (iii) Entities over which control has been gained</w:t>
      </w:r>
      <w:r w:rsidR="0064110A" w:rsidRPr="002B49B0">
        <w:t>:</w:t>
      </w:r>
    </w:p>
    <w:p w:rsidR="000B402E" w:rsidRPr="002B49B0" w:rsidRDefault="000B402E" w:rsidP="00185A28">
      <w:pPr>
        <w:pStyle w:val="BodyText"/>
        <w:ind w:left="840" w:firstLine="153"/>
      </w:pPr>
      <w:r w:rsidRPr="002B49B0">
        <w:t>Nil</w:t>
      </w:r>
      <w:r w:rsidR="0064110A" w:rsidRPr="002B49B0">
        <w:t>.</w:t>
      </w:r>
    </w:p>
    <w:p w:rsidR="000B402E" w:rsidRPr="002B49B0" w:rsidRDefault="000B402E" w:rsidP="0031316B">
      <w:pPr>
        <w:pStyle w:val="Heading3"/>
        <w:numPr>
          <w:ilvl w:val="4"/>
          <w:numId w:val="10"/>
        </w:numPr>
        <w:ind w:left="993"/>
        <w:rPr>
          <w:rFonts w:ascii="Bryant Pro Regular" w:hAnsi="Bryant Pro Regular"/>
        </w:rPr>
      </w:pPr>
      <w:r w:rsidRPr="002B49B0">
        <w:rPr>
          <w:rFonts w:ascii="Bryant Pro Regular" w:hAnsi="Bryant Pro Regular"/>
        </w:rPr>
        <w:t>Details of associates and joint ventures:</w:t>
      </w:r>
    </w:p>
    <w:p w:rsidR="000B402E" w:rsidRPr="002B49B0" w:rsidRDefault="000B402E" w:rsidP="00185A28">
      <w:pPr>
        <w:pStyle w:val="BodyText"/>
        <w:ind w:left="840" w:firstLine="153"/>
      </w:pPr>
      <w:r w:rsidRPr="002B49B0">
        <w:t>(</w:t>
      </w:r>
      <w:proofErr w:type="spellStart"/>
      <w:r w:rsidRPr="002B49B0">
        <w:t>i</w:t>
      </w:r>
      <w:proofErr w:type="spellEnd"/>
      <w:r w:rsidRPr="002B49B0">
        <w:t>) Entity name: New Hope Nutritionals.</w:t>
      </w:r>
    </w:p>
    <w:p w:rsidR="000B402E" w:rsidRPr="002B49B0" w:rsidRDefault="000B402E" w:rsidP="00CE549A">
      <w:pPr>
        <w:pStyle w:val="BodyText"/>
        <w:ind w:left="993"/>
      </w:pPr>
      <w:r w:rsidRPr="002B49B0">
        <w:t>(ii) Holding: On 30 January 2015, the company acquired 25% of the shares of New Hope Nutritionals.</w:t>
      </w:r>
    </w:p>
    <w:p w:rsidR="000B402E" w:rsidRPr="002B49B0" w:rsidRDefault="000B402E" w:rsidP="00CE549A">
      <w:pPr>
        <w:pStyle w:val="BodyText"/>
        <w:ind w:left="993"/>
      </w:pPr>
      <w:r w:rsidRPr="002B49B0">
        <w:t>(iii) Aggregate share of losses: The company’s share of losses in New Hope Nutritionals is $(</w:t>
      </w:r>
      <w:r w:rsidR="00B05EA3" w:rsidRPr="002B49B0">
        <w:t>481</w:t>
      </w:r>
      <w:r w:rsidR="00F66CE1" w:rsidRPr="002B49B0">
        <w:t>,000</w:t>
      </w:r>
      <w:r w:rsidRPr="002B49B0">
        <w:t>) for the current</w:t>
      </w:r>
      <w:r w:rsidR="0064110A" w:rsidRPr="002B49B0">
        <w:t xml:space="preserve"> </w:t>
      </w:r>
      <w:r w:rsidR="00B05EA3" w:rsidRPr="002B49B0">
        <w:t>half</w:t>
      </w:r>
      <w:r w:rsidRPr="002B49B0">
        <w:t xml:space="preserve"> year (</w:t>
      </w:r>
      <w:r w:rsidR="00B05EA3" w:rsidRPr="002B49B0">
        <w:t xml:space="preserve">January </w:t>
      </w:r>
      <w:r w:rsidRPr="002B49B0">
        <w:t>201</w:t>
      </w:r>
      <w:r w:rsidR="00B05EA3" w:rsidRPr="002B49B0">
        <w:t>6</w:t>
      </w:r>
      <w:r w:rsidRPr="002B49B0">
        <w:t>: $</w:t>
      </w:r>
      <w:r w:rsidR="006D07E1" w:rsidRPr="002B49B0">
        <w:t>(</w:t>
      </w:r>
      <w:r w:rsidR="00B05EA3" w:rsidRPr="002B49B0">
        <w:t>734</w:t>
      </w:r>
      <w:r w:rsidRPr="002B49B0">
        <w:t>,000</w:t>
      </w:r>
      <w:r w:rsidR="006D07E1" w:rsidRPr="002B49B0">
        <w:t>)</w:t>
      </w:r>
      <w:r w:rsidRPr="002B49B0">
        <w:t>).</w:t>
      </w:r>
    </w:p>
    <w:p w:rsidR="000B402E" w:rsidRPr="002B49B0" w:rsidRDefault="000B402E" w:rsidP="0031316B">
      <w:pPr>
        <w:pStyle w:val="Heading3"/>
        <w:numPr>
          <w:ilvl w:val="4"/>
          <w:numId w:val="10"/>
        </w:numPr>
        <w:ind w:left="993"/>
        <w:rPr>
          <w:rFonts w:ascii="Bryant Pro Regular" w:hAnsi="Bryant Pro Regular"/>
        </w:rPr>
      </w:pPr>
      <w:r w:rsidRPr="002B49B0">
        <w:rPr>
          <w:rFonts w:ascii="Bryant Pro Regular" w:hAnsi="Bryant Pro Regular"/>
        </w:rPr>
        <w:t>Any other significant information needed by an investor to make an informed assessment of the entity’s financial performance and financial position</w:t>
      </w:r>
    </w:p>
    <w:p w:rsidR="000B402E" w:rsidRPr="002B49B0" w:rsidRDefault="000B402E" w:rsidP="00CE549A">
      <w:pPr>
        <w:pStyle w:val="BodyText"/>
        <w:ind w:left="993"/>
      </w:pPr>
      <w:r w:rsidRPr="002B49B0">
        <w:t>Refer to the Synlait Milk Limited 201</w:t>
      </w:r>
      <w:r w:rsidR="00004A16" w:rsidRPr="002B49B0">
        <w:t>7</w:t>
      </w:r>
      <w:r w:rsidRPr="002B49B0">
        <w:t xml:space="preserve"> </w:t>
      </w:r>
      <w:r w:rsidR="00004A16" w:rsidRPr="002B49B0">
        <w:t>Interim</w:t>
      </w:r>
      <w:r w:rsidRPr="002B49B0">
        <w:t xml:space="preserve"> Report, the </w:t>
      </w:r>
      <w:r w:rsidR="00004A16" w:rsidRPr="002B49B0">
        <w:t>Interim</w:t>
      </w:r>
      <w:r w:rsidRPr="002B49B0">
        <w:t xml:space="preserve"> Report Presentation Pack and t</w:t>
      </w:r>
      <w:r w:rsidR="00004A16" w:rsidRPr="002B49B0">
        <w:t>he media release, all released 2</w:t>
      </w:r>
      <w:r w:rsidRPr="002B49B0">
        <w:t xml:space="preserve">9 </w:t>
      </w:r>
      <w:r w:rsidR="00004A16" w:rsidRPr="002B49B0">
        <w:t>March</w:t>
      </w:r>
      <w:r w:rsidRPr="002B49B0">
        <w:t xml:space="preserve"> 201</w:t>
      </w:r>
      <w:r w:rsidR="00004A16" w:rsidRPr="002B49B0">
        <w:t>7</w:t>
      </w:r>
      <w:r w:rsidRPr="002B49B0">
        <w:t>.</w:t>
      </w:r>
    </w:p>
    <w:p w:rsidR="000B402E" w:rsidRPr="002B49B0" w:rsidRDefault="000B402E" w:rsidP="0031316B">
      <w:pPr>
        <w:pStyle w:val="Heading3"/>
        <w:numPr>
          <w:ilvl w:val="4"/>
          <w:numId w:val="10"/>
        </w:numPr>
        <w:ind w:left="993"/>
        <w:rPr>
          <w:rFonts w:ascii="Bryant Pro Regular" w:hAnsi="Bryant Pro Regular"/>
        </w:rPr>
      </w:pPr>
      <w:r w:rsidRPr="002B49B0">
        <w:rPr>
          <w:rFonts w:ascii="Bryant Pro Regular" w:hAnsi="Bryant Pro Regular"/>
        </w:rPr>
        <w:t>Commentary on the Results</w:t>
      </w:r>
    </w:p>
    <w:p w:rsidR="000B402E" w:rsidRPr="002B49B0" w:rsidRDefault="000B402E" w:rsidP="000B402E">
      <w:pPr>
        <w:autoSpaceDE w:val="0"/>
        <w:autoSpaceDN w:val="0"/>
        <w:adjustRightInd w:val="0"/>
        <w:spacing w:before="0" w:after="0" w:line="240" w:lineRule="auto"/>
        <w:rPr>
          <w:rFonts w:ascii="Bryant Pro Regular" w:hAnsi="Bryant Pro Regular" w:cs="Arial"/>
          <w:b/>
          <w:bCs/>
          <w:sz w:val="18"/>
          <w:szCs w:val="18"/>
        </w:rPr>
      </w:pPr>
      <w:r w:rsidRPr="002B49B0">
        <w:rPr>
          <w:rFonts w:ascii="Bryant Pro Regular" w:hAnsi="Bryant Pro Regular" w:cs="Arial"/>
          <w:b/>
          <w:bCs/>
          <w:sz w:val="18"/>
          <w:szCs w:val="18"/>
        </w:rPr>
        <w:t xml:space="preserve"> </w:t>
      </w:r>
    </w:p>
    <w:tbl>
      <w:tblPr>
        <w:tblW w:w="10000" w:type="dxa"/>
        <w:tblLook w:val="04A0" w:firstRow="1" w:lastRow="0" w:firstColumn="1" w:lastColumn="0" w:noHBand="0" w:noVBand="1"/>
      </w:tblPr>
      <w:tblGrid>
        <w:gridCol w:w="1276"/>
        <w:gridCol w:w="3371"/>
        <w:gridCol w:w="2152"/>
        <w:gridCol w:w="1593"/>
        <w:gridCol w:w="1608"/>
      </w:tblGrid>
      <w:tr w:rsidR="00CE549A" w:rsidRPr="002B49B0" w:rsidTr="00CE549A">
        <w:trPr>
          <w:trHeight w:val="300"/>
        </w:trPr>
        <w:tc>
          <w:tcPr>
            <w:tcW w:w="1276" w:type="dxa"/>
            <w:tcBorders>
              <w:top w:val="nil"/>
              <w:left w:val="nil"/>
              <w:bottom w:val="nil"/>
              <w:right w:val="nil"/>
            </w:tcBorders>
            <w:shd w:val="clear" w:color="auto" w:fill="auto"/>
            <w:noWrap/>
            <w:vAlign w:val="bottom"/>
            <w:hideMark/>
          </w:tcPr>
          <w:p w:rsidR="000B402E" w:rsidRPr="002B49B0" w:rsidRDefault="000B402E" w:rsidP="000B402E">
            <w:pPr>
              <w:spacing w:before="0" w:after="0" w:line="240" w:lineRule="auto"/>
              <w:rPr>
                <w:rFonts w:ascii="Bryant Pro Regular" w:eastAsia="Times New Roman" w:hAnsi="Bryant Pro Regular" w:cs="Times New Roman"/>
                <w:sz w:val="24"/>
                <w:szCs w:val="24"/>
                <w:lang w:val="en-US"/>
              </w:rPr>
            </w:pPr>
          </w:p>
        </w:tc>
        <w:tc>
          <w:tcPr>
            <w:tcW w:w="3371" w:type="dxa"/>
            <w:tcBorders>
              <w:top w:val="single" w:sz="8" w:space="0" w:color="5BC6E8"/>
              <w:left w:val="single" w:sz="8" w:space="0" w:color="5BC6E8"/>
              <w:bottom w:val="nil"/>
              <w:right w:val="nil"/>
            </w:tcBorders>
            <w:shd w:val="clear" w:color="000000" w:fill="5BC6E8"/>
            <w:vAlign w:val="center"/>
            <w:hideMark/>
          </w:tcPr>
          <w:p w:rsidR="000B402E" w:rsidRPr="002B49B0" w:rsidRDefault="000B402E" w:rsidP="000077F7">
            <w:pPr>
              <w:overflowPunct w:val="0"/>
              <w:autoSpaceDE w:val="0"/>
              <w:autoSpaceDN w:val="0"/>
              <w:adjustRightInd w:val="0"/>
              <w:spacing w:before="0" w:after="0" w:line="240" w:lineRule="auto"/>
              <w:jc w:val="both"/>
              <w:textAlignment w:val="baseline"/>
              <w:rPr>
                <w:rFonts w:ascii="Bryant Pro Regular" w:eastAsia="Times New Roman" w:hAnsi="Bryant Pro Regular" w:cs="Arial"/>
                <w:color w:val="FFFFFF" w:themeColor="background1"/>
                <w:szCs w:val="20"/>
              </w:rPr>
            </w:pPr>
            <w:r w:rsidRPr="002B49B0">
              <w:rPr>
                <w:rFonts w:ascii="Bryant Pro Regular" w:eastAsia="Times New Roman" w:hAnsi="Bryant Pro Regular" w:cs="Arial"/>
                <w:color w:val="FFFFFF" w:themeColor="background1"/>
                <w:szCs w:val="20"/>
              </w:rPr>
              <w:t> </w:t>
            </w:r>
          </w:p>
        </w:tc>
        <w:tc>
          <w:tcPr>
            <w:tcW w:w="2152" w:type="dxa"/>
            <w:tcBorders>
              <w:top w:val="single" w:sz="8" w:space="0" w:color="5BC6E8"/>
              <w:left w:val="nil"/>
              <w:bottom w:val="nil"/>
              <w:right w:val="nil"/>
            </w:tcBorders>
            <w:shd w:val="clear" w:color="000000" w:fill="5BC6E8"/>
            <w:vAlign w:val="center"/>
            <w:hideMark/>
          </w:tcPr>
          <w:p w:rsidR="000B402E" w:rsidRPr="002B49B0" w:rsidRDefault="000B402E" w:rsidP="000077F7">
            <w:pPr>
              <w:overflowPunct w:val="0"/>
              <w:autoSpaceDE w:val="0"/>
              <w:autoSpaceDN w:val="0"/>
              <w:adjustRightInd w:val="0"/>
              <w:spacing w:before="0" w:after="0" w:line="240" w:lineRule="auto"/>
              <w:jc w:val="center"/>
              <w:textAlignment w:val="baseline"/>
              <w:rPr>
                <w:rFonts w:ascii="Bryant Pro Regular" w:eastAsia="Times New Roman" w:hAnsi="Bryant Pro Regular" w:cs="Arial"/>
                <w:color w:val="FFFFFF" w:themeColor="background1"/>
                <w:szCs w:val="20"/>
              </w:rPr>
            </w:pPr>
            <w:r w:rsidRPr="002B49B0">
              <w:rPr>
                <w:rFonts w:ascii="Bryant Pro Regular" w:eastAsia="Times New Roman" w:hAnsi="Bryant Pro Regular" w:cs="Arial"/>
                <w:color w:val="FFFFFF" w:themeColor="background1"/>
                <w:szCs w:val="20"/>
              </w:rPr>
              <w:t>Measurement</w:t>
            </w:r>
          </w:p>
        </w:tc>
        <w:tc>
          <w:tcPr>
            <w:tcW w:w="1593" w:type="dxa"/>
            <w:tcBorders>
              <w:top w:val="single" w:sz="8" w:space="0" w:color="5BC6E8"/>
              <w:left w:val="nil"/>
              <w:bottom w:val="nil"/>
              <w:right w:val="nil"/>
            </w:tcBorders>
            <w:shd w:val="clear" w:color="000000" w:fill="5BC6E8"/>
            <w:vAlign w:val="center"/>
            <w:hideMark/>
          </w:tcPr>
          <w:p w:rsidR="000B402E" w:rsidRPr="002B49B0" w:rsidRDefault="000B402E" w:rsidP="000077F7">
            <w:pPr>
              <w:overflowPunct w:val="0"/>
              <w:autoSpaceDE w:val="0"/>
              <w:autoSpaceDN w:val="0"/>
              <w:adjustRightInd w:val="0"/>
              <w:spacing w:before="0" w:after="0" w:line="240" w:lineRule="auto"/>
              <w:jc w:val="center"/>
              <w:textAlignment w:val="baseline"/>
              <w:rPr>
                <w:rFonts w:ascii="Bryant Pro Regular" w:eastAsia="Times New Roman" w:hAnsi="Bryant Pro Regular" w:cs="Arial"/>
                <w:color w:val="FFFFFF" w:themeColor="background1"/>
                <w:szCs w:val="20"/>
              </w:rPr>
            </w:pPr>
            <w:r w:rsidRPr="002B49B0">
              <w:rPr>
                <w:rFonts w:ascii="Bryant Pro Regular" w:eastAsia="Times New Roman" w:hAnsi="Bryant Pro Regular" w:cs="Arial"/>
                <w:color w:val="FFFFFF" w:themeColor="background1"/>
                <w:szCs w:val="20"/>
              </w:rPr>
              <w:t>Current Year</w:t>
            </w:r>
          </w:p>
        </w:tc>
        <w:tc>
          <w:tcPr>
            <w:tcW w:w="1608" w:type="dxa"/>
            <w:tcBorders>
              <w:top w:val="single" w:sz="8" w:space="0" w:color="5BC6E8"/>
              <w:left w:val="nil"/>
              <w:bottom w:val="nil"/>
              <w:right w:val="single" w:sz="8" w:space="0" w:color="5BC6E8"/>
            </w:tcBorders>
            <w:shd w:val="clear" w:color="000000" w:fill="5BC6E8"/>
            <w:vAlign w:val="center"/>
            <w:hideMark/>
          </w:tcPr>
          <w:p w:rsidR="000B402E" w:rsidRPr="002B49B0" w:rsidRDefault="000B402E" w:rsidP="000077F7">
            <w:pPr>
              <w:overflowPunct w:val="0"/>
              <w:autoSpaceDE w:val="0"/>
              <w:autoSpaceDN w:val="0"/>
              <w:adjustRightInd w:val="0"/>
              <w:spacing w:before="0" w:after="0" w:line="240" w:lineRule="auto"/>
              <w:jc w:val="center"/>
              <w:textAlignment w:val="baseline"/>
              <w:rPr>
                <w:rFonts w:ascii="Bryant Pro Regular" w:eastAsia="Times New Roman" w:hAnsi="Bryant Pro Regular" w:cs="Arial"/>
                <w:color w:val="FFFFFF" w:themeColor="background1"/>
                <w:szCs w:val="20"/>
              </w:rPr>
            </w:pPr>
            <w:r w:rsidRPr="002B49B0">
              <w:rPr>
                <w:rFonts w:ascii="Bryant Pro Regular" w:eastAsia="Times New Roman" w:hAnsi="Bryant Pro Regular" w:cs="Arial"/>
                <w:color w:val="FFFFFF" w:themeColor="background1"/>
                <w:szCs w:val="20"/>
              </w:rPr>
              <w:t>Previous Year</w:t>
            </w:r>
          </w:p>
        </w:tc>
      </w:tr>
      <w:tr w:rsidR="00CE549A" w:rsidRPr="002B49B0" w:rsidTr="00CE549A">
        <w:trPr>
          <w:trHeight w:val="300"/>
        </w:trPr>
        <w:tc>
          <w:tcPr>
            <w:tcW w:w="1276" w:type="dxa"/>
            <w:tcBorders>
              <w:top w:val="nil"/>
              <w:left w:val="nil"/>
              <w:bottom w:val="nil"/>
              <w:right w:val="nil"/>
            </w:tcBorders>
            <w:shd w:val="clear" w:color="auto" w:fill="auto"/>
            <w:noWrap/>
            <w:vAlign w:val="bottom"/>
            <w:hideMark/>
          </w:tcPr>
          <w:p w:rsidR="000B402E" w:rsidRPr="002B49B0" w:rsidRDefault="000B402E" w:rsidP="00CE549A">
            <w:pPr>
              <w:pStyle w:val="BodyText"/>
              <w:ind w:left="604" w:firstLine="153"/>
              <w:rPr>
                <w:rFonts w:eastAsia="Times New Roman" w:cs="Times New Roman"/>
                <w:b/>
                <w:bCs/>
                <w:color w:val="000000"/>
                <w:sz w:val="22"/>
                <w:lang w:val="en-US"/>
              </w:rPr>
            </w:pPr>
            <w:r w:rsidRPr="002B49B0">
              <w:t>(</w:t>
            </w:r>
            <w:proofErr w:type="spellStart"/>
            <w:r w:rsidRPr="002B49B0">
              <w:t>i</w:t>
            </w:r>
            <w:proofErr w:type="spellEnd"/>
            <w:r w:rsidRPr="002B49B0">
              <w:t>)</w:t>
            </w:r>
          </w:p>
        </w:tc>
        <w:tc>
          <w:tcPr>
            <w:tcW w:w="3371" w:type="dxa"/>
            <w:tcBorders>
              <w:top w:val="single" w:sz="4" w:space="0" w:color="5BC6E8"/>
              <w:left w:val="single" w:sz="8" w:space="0" w:color="5BC6E8"/>
              <w:bottom w:val="single" w:sz="4" w:space="0" w:color="5BC6E8"/>
              <w:right w:val="nil"/>
            </w:tcBorders>
            <w:shd w:val="clear" w:color="auto" w:fill="auto"/>
            <w:vAlign w:val="center"/>
            <w:hideMark/>
          </w:tcPr>
          <w:p w:rsidR="000B402E" w:rsidRPr="002B49B0" w:rsidRDefault="00CE549A" w:rsidP="000077F7">
            <w:pPr>
              <w:overflowPunct w:val="0"/>
              <w:autoSpaceDE w:val="0"/>
              <w:autoSpaceDN w:val="0"/>
              <w:adjustRightInd w:val="0"/>
              <w:spacing w:before="0" w:after="0" w:line="240" w:lineRule="auto"/>
              <w:jc w:val="both"/>
              <w:textAlignment w:val="baseline"/>
              <w:rPr>
                <w:rFonts w:ascii="Bryant Pro Regular" w:eastAsia="Times New Roman" w:hAnsi="Bryant Pro Regular" w:cs="Arial"/>
                <w:szCs w:val="20"/>
              </w:rPr>
            </w:pPr>
            <w:r w:rsidRPr="002B49B0">
              <w:rPr>
                <w:rFonts w:ascii="Bryant Pro Regular" w:eastAsia="Times New Roman" w:hAnsi="Bryant Pro Regular" w:cs="Arial"/>
                <w:szCs w:val="20"/>
              </w:rPr>
              <w:t>Basic earnings per share</w:t>
            </w:r>
          </w:p>
        </w:tc>
        <w:tc>
          <w:tcPr>
            <w:tcW w:w="2152" w:type="dxa"/>
            <w:tcBorders>
              <w:top w:val="single" w:sz="4" w:space="0" w:color="5BC6E8"/>
              <w:left w:val="nil"/>
              <w:bottom w:val="single" w:sz="4" w:space="0" w:color="5BC6E8"/>
              <w:right w:val="nil"/>
            </w:tcBorders>
            <w:shd w:val="clear" w:color="auto" w:fill="auto"/>
            <w:vAlign w:val="center"/>
            <w:hideMark/>
          </w:tcPr>
          <w:p w:rsidR="000B402E" w:rsidRPr="002B49B0" w:rsidRDefault="000B402E" w:rsidP="000077F7">
            <w:pPr>
              <w:overflowPunct w:val="0"/>
              <w:autoSpaceDE w:val="0"/>
              <w:autoSpaceDN w:val="0"/>
              <w:adjustRightInd w:val="0"/>
              <w:spacing w:before="0" w:after="0" w:line="240" w:lineRule="auto"/>
              <w:jc w:val="center"/>
              <w:textAlignment w:val="baseline"/>
              <w:rPr>
                <w:rFonts w:ascii="Bryant Pro Regular" w:eastAsia="Times New Roman" w:hAnsi="Bryant Pro Regular" w:cs="Arial"/>
                <w:szCs w:val="20"/>
              </w:rPr>
            </w:pPr>
            <w:r w:rsidRPr="002B49B0">
              <w:rPr>
                <w:rFonts w:ascii="Bryant Pro Regular" w:eastAsia="Times New Roman" w:hAnsi="Bryant Pro Regular" w:cs="Arial"/>
                <w:szCs w:val="20"/>
              </w:rPr>
              <w:t>Cents per share</w:t>
            </w:r>
          </w:p>
        </w:tc>
        <w:tc>
          <w:tcPr>
            <w:tcW w:w="1593" w:type="dxa"/>
            <w:tcBorders>
              <w:top w:val="single" w:sz="4" w:space="0" w:color="5BC6E8"/>
              <w:left w:val="nil"/>
              <w:bottom w:val="single" w:sz="4" w:space="0" w:color="5BC6E8"/>
              <w:right w:val="nil"/>
            </w:tcBorders>
            <w:shd w:val="clear" w:color="auto" w:fill="auto"/>
            <w:vAlign w:val="center"/>
            <w:hideMark/>
          </w:tcPr>
          <w:p w:rsidR="000B402E" w:rsidRPr="002B49B0" w:rsidRDefault="002B49B0" w:rsidP="000077F7">
            <w:pPr>
              <w:overflowPunct w:val="0"/>
              <w:autoSpaceDE w:val="0"/>
              <w:autoSpaceDN w:val="0"/>
              <w:adjustRightInd w:val="0"/>
              <w:spacing w:before="0" w:after="0" w:line="240" w:lineRule="auto"/>
              <w:jc w:val="center"/>
              <w:textAlignment w:val="baseline"/>
              <w:rPr>
                <w:rFonts w:ascii="Bryant Pro Regular" w:eastAsia="Times New Roman" w:hAnsi="Bryant Pro Regular" w:cs="Arial"/>
                <w:szCs w:val="20"/>
                <w:highlight w:val="yellow"/>
              </w:rPr>
            </w:pPr>
            <w:r w:rsidRPr="002B49B0">
              <w:rPr>
                <w:rFonts w:ascii="Bryant Pro Regular" w:eastAsia="Times New Roman" w:hAnsi="Bryant Pro Regular" w:cs="Arial"/>
                <w:szCs w:val="20"/>
              </w:rPr>
              <w:t>6.34</w:t>
            </w:r>
          </w:p>
        </w:tc>
        <w:tc>
          <w:tcPr>
            <w:tcW w:w="1608" w:type="dxa"/>
            <w:tcBorders>
              <w:top w:val="single" w:sz="4" w:space="0" w:color="5BC6E8"/>
              <w:left w:val="nil"/>
              <w:bottom w:val="single" w:sz="4" w:space="0" w:color="5BC6E8"/>
              <w:right w:val="single" w:sz="8" w:space="0" w:color="5BC6E8"/>
            </w:tcBorders>
            <w:shd w:val="clear" w:color="auto" w:fill="auto"/>
            <w:vAlign w:val="center"/>
            <w:hideMark/>
          </w:tcPr>
          <w:p w:rsidR="000B402E" w:rsidRPr="002B49B0" w:rsidRDefault="00004A16" w:rsidP="000077F7">
            <w:pPr>
              <w:overflowPunct w:val="0"/>
              <w:autoSpaceDE w:val="0"/>
              <w:autoSpaceDN w:val="0"/>
              <w:adjustRightInd w:val="0"/>
              <w:spacing w:before="0" w:after="0" w:line="240" w:lineRule="auto"/>
              <w:jc w:val="center"/>
              <w:textAlignment w:val="baseline"/>
              <w:rPr>
                <w:rFonts w:ascii="Bryant Pro Regular" w:eastAsia="Times New Roman" w:hAnsi="Bryant Pro Regular" w:cs="Arial"/>
                <w:szCs w:val="20"/>
              </w:rPr>
            </w:pPr>
            <w:r w:rsidRPr="002B49B0">
              <w:rPr>
                <w:rFonts w:ascii="Bryant Pro Regular" w:eastAsia="Times New Roman" w:hAnsi="Bryant Pro Regular" w:cs="Arial"/>
                <w:szCs w:val="20"/>
              </w:rPr>
              <w:t>6.99</w:t>
            </w:r>
          </w:p>
        </w:tc>
      </w:tr>
      <w:tr w:rsidR="00CE549A" w:rsidRPr="002B49B0" w:rsidTr="0016450A">
        <w:trPr>
          <w:trHeight w:val="491"/>
        </w:trPr>
        <w:tc>
          <w:tcPr>
            <w:tcW w:w="1276" w:type="dxa"/>
            <w:tcBorders>
              <w:top w:val="nil"/>
              <w:left w:val="nil"/>
              <w:bottom w:val="nil"/>
              <w:right w:val="nil"/>
            </w:tcBorders>
            <w:shd w:val="clear" w:color="auto" w:fill="auto"/>
            <w:noWrap/>
            <w:vAlign w:val="bottom"/>
            <w:hideMark/>
          </w:tcPr>
          <w:p w:rsidR="000B402E" w:rsidRPr="002B49B0" w:rsidRDefault="000B402E" w:rsidP="000B402E">
            <w:pPr>
              <w:spacing w:before="0" w:after="0" w:line="240" w:lineRule="auto"/>
              <w:jc w:val="center"/>
              <w:rPr>
                <w:rFonts w:ascii="Bryant Pro Regular" w:eastAsia="Times New Roman" w:hAnsi="Bryant Pro Regular" w:cs="Arial"/>
                <w:szCs w:val="20"/>
                <w:lang w:val="en-US"/>
              </w:rPr>
            </w:pPr>
          </w:p>
        </w:tc>
        <w:tc>
          <w:tcPr>
            <w:tcW w:w="3371" w:type="dxa"/>
            <w:tcBorders>
              <w:top w:val="nil"/>
              <w:left w:val="single" w:sz="8" w:space="0" w:color="5BC6E8"/>
              <w:bottom w:val="single" w:sz="4" w:space="0" w:color="5BC6E8"/>
              <w:right w:val="nil"/>
            </w:tcBorders>
            <w:shd w:val="clear" w:color="auto" w:fill="auto"/>
            <w:vAlign w:val="center"/>
            <w:hideMark/>
          </w:tcPr>
          <w:p w:rsidR="000B402E" w:rsidRPr="002B49B0" w:rsidRDefault="00CE549A" w:rsidP="000077F7">
            <w:pPr>
              <w:overflowPunct w:val="0"/>
              <w:autoSpaceDE w:val="0"/>
              <w:autoSpaceDN w:val="0"/>
              <w:adjustRightInd w:val="0"/>
              <w:spacing w:before="0" w:after="0" w:line="240" w:lineRule="auto"/>
              <w:jc w:val="both"/>
              <w:textAlignment w:val="baseline"/>
              <w:rPr>
                <w:rFonts w:ascii="Bryant Pro Regular" w:eastAsia="Times New Roman" w:hAnsi="Bryant Pro Regular" w:cs="Arial"/>
                <w:szCs w:val="20"/>
              </w:rPr>
            </w:pPr>
            <w:r w:rsidRPr="002B49B0">
              <w:rPr>
                <w:rFonts w:ascii="Bryant Pro Regular" w:eastAsia="Times New Roman" w:hAnsi="Bryant Pro Regular" w:cs="Arial"/>
                <w:szCs w:val="20"/>
              </w:rPr>
              <w:t>Diluted earnings per share</w:t>
            </w:r>
          </w:p>
        </w:tc>
        <w:tc>
          <w:tcPr>
            <w:tcW w:w="2152" w:type="dxa"/>
            <w:tcBorders>
              <w:top w:val="nil"/>
              <w:left w:val="nil"/>
              <w:bottom w:val="single" w:sz="4" w:space="0" w:color="5BC6E8"/>
              <w:right w:val="nil"/>
            </w:tcBorders>
            <w:shd w:val="clear" w:color="auto" w:fill="auto"/>
            <w:vAlign w:val="center"/>
            <w:hideMark/>
          </w:tcPr>
          <w:p w:rsidR="000B402E" w:rsidRPr="002B49B0" w:rsidRDefault="000B402E" w:rsidP="000077F7">
            <w:pPr>
              <w:overflowPunct w:val="0"/>
              <w:autoSpaceDE w:val="0"/>
              <w:autoSpaceDN w:val="0"/>
              <w:adjustRightInd w:val="0"/>
              <w:spacing w:before="0" w:after="0" w:line="240" w:lineRule="auto"/>
              <w:jc w:val="center"/>
              <w:textAlignment w:val="baseline"/>
              <w:rPr>
                <w:rFonts w:ascii="Bryant Pro Regular" w:eastAsia="Times New Roman" w:hAnsi="Bryant Pro Regular" w:cs="Arial"/>
                <w:szCs w:val="20"/>
              </w:rPr>
            </w:pPr>
            <w:r w:rsidRPr="002B49B0">
              <w:rPr>
                <w:rFonts w:ascii="Bryant Pro Regular" w:eastAsia="Times New Roman" w:hAnsi="Bryant Pro Regular" w:cs="Arial"/>
                <w:szCs w:val="20"/>
              </w:rPr>
              <w:t>Cents per share</w:t>
            </w:r>
          </w:p>
        </w:tc>
        <w:tc>
          <w:tcPr>
            <w:tcW w:w="1593" w:type="dxa"/>
            <w:tcBorders>
              <w:top w:val="nil"/>
              <w:left w:val="nil"/>
              <w:bottom w:val="single" w:sz="4" w:space="0" w:color="5BC6E8"/>
              <w:right w:val="nil"/>
            </w:tcBorders>
            <w:shd w:val="clear" w:color="auto" w:fill="auto"/>
            <w:vAlign w:val="center"/>
            <w:hideMark/>
          </w:tcPr>
          <w:p w:rsidR="000B402E" w:rsidRPr="002B49B0" w:rsidRDefault="002B49B0" w:rsidP="000077F7">
            <w:pPr>
              <w:overflowPunct w:val="0"/>
              <w:autoSpaceDE w:val="0"/>
              <w:autoSpaceDN w:val="0"/>
              <w:adjustRightInd w:val="0"/>
              <w:spacing w:before="0" w:after="0" w:line="240" w:lineRule="auto"/>
              <w:jc w:val="center"/>
              <w:textAlignment w:val="baseline"/>
              <w:rPr>
                <w:rFonts w:ascii="Bryant Pro Regular" w:eastAsia="Times New Roman" w:hAnsi="Bryant Pro Regular" w:cs="Arial"/>
                <w:szCs w:val="20"/>
                <w:highlight w:val="yellow"/>
              </w:rPr>
            </w:pPr>
            <w:r>
              <w:rPr>
                <w:rFonts w:ascii="Bryant Pro Regular" w:eastAsia="Times New Roman" w:hAnsi="Bryant Pro Regular" w:cs="Arial"/>
                <w:szCs w:val="20"/>
              </w:rPr>
              <w:t>6.34</w:t>
            </w:r>
          </w:p>
        </w:tc>
        <w:tc>
          <w:tcPr>
            <w:tcW w:w="1608" w:type="dxa"/>
            <w:tcBorders>
              <w:top w:val="nil"/>
              <w:left w:val="nil"/>
              <w:bottom w:val="single" w:sz="4" w:space="0" w:color="5BC6E8"/>
              <w:right w:val="single" w:sz="8" w:space="0" w:color="5BC6E8"/>
            </w:tcBorders>
            <w:shd w:val="clear" w:color="auto" w:fill="auto"/>
            <w:vAlign w:val="center"/>
            <w:hideMark/>
          </w:tcPr>
          <w:p w:rsidR="000B402E" w:rsidRPr="002B49B0" w:rsidRDefault="00004A16" w:rsidP="000077F7">
            <w:pPr>
              <w:overflowPunct w:val="0"/>
              <w:autoSpaceDE w:val="0"/>
              <w:autoSpaceDN w:val="0"/>
              <w:adjustRightInd w:val="0"/>
              <w:spacing w:before="0" w:after="0" w:line="240" w:lineRule="auto"/>
              <w:jc w:val="center"/>
              <w:textAlignment w:val="baseline"/>
              <w:rPr>
                <w:rFonts w:ascii="Bryant Pro Regular" w:eastAsia="Times New Roman" w:hAnsi="Bryant Pro Regular" w:cs="Arial"/>
                <w:szCs w:val="20"/>
              </w:rPr>
            </w:pPr>
            <w:r w:rsidRPr="002B49B0">
              <w:rPr>
                <w:rFonts w:ascii="Bryant Pro Regular" w:eastAsia="Times New Roman" w:hAnsi="Bryant Pro Regular" w:cs="Arial"/>
                <w:szCs w:val="20"/>
              </w:rPr>
              <w:t>6.99</w:t>
            </w:r>
          </w:p>
        </w:tc>
      </w:tr>
      <w:tr w:rsidR="00CE549A" w:rsidRPr="002B49B0" w:rsidTr="00CE549A">
        <w:trPr>
          <w:trHeight w:val="300"/>
        </w:trPr>
        <w:tc>
          <w:tcPr>
            <w:tcW w:w="1276" w:type="dxa"/>
            <w:tcBorders>
              <w:top w:val="nil"/>
              <w:left w:val="nil"/>
              <w:bottom w:val="nil"/>
              <w:right w:val="nil"/>
            </w:tcBorders>
            <w:shd w:val="clear" w:color="auto" w:fill="auto"/>
            <w:noWrap/>
            <w:vAlign w:val="bottom"/>
            <w:hideMark/>
          </w:tcPr>
          <w:p w:rsidR="000B402E" w:rsidRPr="002B49B0" w:rsidRDefault="000B402E" w:rsidP="00185A28">
            <w:pPr>
              <w:pStyle w:val="BodyText"/>
              <w:ind w:left="597" w:firstLine="153"/>
              <w:rPr>
                <w:rFonts w:eastAsia="Times New Roman" w:cs="Times New Roman"/>
                <w:b/>
                <w:bCs/>
                <w:color w:val="000000"/>
                <w:sz w:val="22"/>
                <w:lang w:val="en-US"/>
              </w:rPr>
            </w:pPr>
            <w:r w:rsidRPr="002B49B0">
              <w:t>(ii)</w:t>
            </w:r>
          </w:p>
        </w:tc>
        <w:tc>
          <w:tcPr>
            <w:tcW w:w="3371" w:type="dxa"/>
            <w:tcBorders>
              <w:top w:val="nil"/>
              <w:left w:val="single" w:sz="8" w:space="0" w:color="5BC6E8"/>
              <w:bottom w:val="single" w:sz="4" w:space="0" w:color="5BC6E8"/>
              <w:right w:val="nil"/>
            </w:tcBorders>
            <w:shd w:val="clear" w:color="auto" w:fill="auto"/>
            <w:vAlign w:val="center"/>
            <w:hideMark/>
          </w:tcPr>
          <w:p w:rsidR="000B402E" w:rsidRPr="002B49B0" w:rsidRDefault="00CE549A" w:rsidP="000077F7">
            <w:pPr>
              <w:overflowPunct w:val="0"/>
              <w:autoSpaceDE w:val="0"/>
              <w:autoSpaceDN w:val="0"/>
              <w:adjustRightInd w:val="0"/>
              <w:spacing w:before="0" w:after="0" w:line="240" w:lineRule="auto"/>
              <w:jc w:val="both"/>
              <w:textAlignment w:val="baseline"/>
              <w:rPr>
                <w:rFonts w:ascii="Bryant Pro Regular" w:eastAsia="Times New Roman" w:hAnsi="Bryant Pro Regular" w:cs="Arial"/>
                <w:szCs w:val="20"/>
              </w:rPr>
            </w:pPr>
            <w:r w:rsidRPr="002B49B0">
              <w:rPr>
                <w:rFonts w:ascii="Bryant Pro Regular" w:eastAsia="Times New Roman" w:hAnsi="Bryant Pro Regular" w:cs="Arial"/>
                <w:szCs w:val="20"/>
              </w:rPr>
              <w:t>Interim dividend on Ordinary Shares</w:t>
            </w:r>
          </w:p>
        </w:tc>
        <w:tc>
          <w:tcPr>
            <w:tcW w:w="2152" w:type="dxa"/>
            <w:tcBorders>
              <w:top w:val="nil"/>
              <w:left w:val="nil"/>
              <w:bottom w:val="single" w:sz="4" w:space="0" w:color="5BC6E8"/>
              <w:right w:val="nil"/>
            </w:tcBorders>
            <w:shd w:val="clear" w:color="auto" w:fill="auto"/>
            <w:vAlign w:val="center"/>
            <w:hideMark/>
          </w:tcPr>
          <w:p w:rsidR="000B402E" w:rsidRPr="002B49B0" w:rsidRDefault="000B402E" w:rsidP="000077F7">
            <w:pPr>
              <w:overflowPunct w:val="0"/>
              <w:autoSpaceDE w:val="0"/>
              <w:autoSpaceDN w:val="0"/>
              <w:adjustRightInd w:val="0"/>
              <w:spacing w:before="0" w:after="0" w:line="240" w:lineRule="auto"/>
              <w:jc w:val="center"/>
              <w:textAlignment w:val="baseline"/>
              <w:rPr>
                <w:rFonts w:ascii="Bryant Pro Regular" w:eastAsia="Times New Roman" w:hAnsi="Bryant Pro Regular" w:cs="Arial"/>
                <w:szCs w:val="20"/>
              </w:rPr>
            </w:pPr>
            <w:r w:rsidRPr="002B49B0">
              <w:rPr>
                <w:rFonts w:ascii="Bryant Pro Regular" w:eastAsia="Times New Roman" w:hAnsi="Bryant Pro Regular" w:cs="Arial"/>
                <w:szCs w:val="20"/>
              </w:rPr>
              <w:t>$000s</w:t>
            </w:r>
          </w:p>
        </w:tc>
        <w:tc>
          <w:tcPr>
            <w:tcW w:w="1593" w:type="dxa"/>
            <w:tcBorders>
              <w:top w:val="nil"/>
              <w:left w:val="nil"/>
              <w:bottom w:val="single" w:sz="4" w:space="0" w:color="5BC6E8"/>
              <w:right w:val="nil"/>
            </w:tcBorders>
            <w:shd w:val="clear" w:color="auto" w:fill="auto"/>
            <w:vAlign w:val="center"/>
            <w:hideMark/>
          </w:tcPr>
          <w:p w:rsidR="000B402E" w:rsidRPr="002B49B0" w:rsidRDefault="000B402E" w:rsidP="000077F7">
            <w:pPr>
              <w:overflowPunct w:val="0"/>
              <w:autoSpaceDE w:val="0"/>
              <w:autoSpaceDN w:val="0"/>
              <w:adjustRightInd w:val="0"/>
              <w:spacing w:before="0" w:after="0" w:line="240" w:lineRule="auto"/>
              <w:jc w:val="center"/>
              <w:textAlignment w:val="baseline"/>
              <w:rPr>
                <w:rFonts w:ascii="Bryant Pro Regular" w:eastAsia="Times New Roman" w:hAnsi="Bryant Pro Regular" w:cs="Arial"/>
                <w:szCs w:val="20"/>
              </w:rPr>
            </w:pPr>
            <w:r w:rsidRPr="002B49B0">
              <w:rPr>
                <w:rFonts w:ascii="Bryant Pro Regular" w:eastAsia="Times New Roman" w:hAnsi="Bryant Pro Regular" w:cs="Arial"/>
                <w:szCs w:val="20"/>
              </w:rPr>
              <w:t>-</w:t>
            </w:r>
          </w:p>
        </w:tc>
        <w:tc>
          <w:tcPr>
            <w:tcW w:w="1608" w:type="dxa"/>
            <w:tcBorders>
              <w:top w:val="nil"/>
              <w:left w:val="nil"/>
              <w:bottom w:val="single" w:sz="4" w:space="0" w:color="5BC6E8"/>
              <w:right w:val="single" w:sz="8" w:space="0" w:color="5BC6E8"/>
            </w:tcBorders>
            <w:shd w:val="clear" w:color="auto" w:fill="auto"/>
            <w:vAlign w:val="center"/>
            <w:hideMark/>
          </w:tcPr>
          <w:p w:rsidR="000B402E" w:rsidRPr="002B49B0" w:rsidRDefault="000B402E" w:rsidP="000077F7">
            <w:pPr>
              <w:overflowPunct w:val="0"/>
              <w:autoSpaceDE w:val="0"/>
              <w:autoSpaceDN w:val="0"/>
              <w:adjustRightInd w:val="0"/>
              <w:spacing w:before="0" w:after="0" w:line="240" w:lineRule="auto"/>
              <w:jc w:val="center"/>
              <w:textAlignment w:val="baseline"/>
              <w:rPr>
                <w:rFonts w:ascii="Bryant Pro Regular" w:eastAsia="Times New Roman" w:hAnsi="Bryant Pro Regular" w:cs="Arial"/>
                <w:szCs w:val="20"/>
              </w:rPr>
            </w:pPr>
            <w:r w:rsidRPr="002B49B0">
              <w:rPr>
                <w:rFonts w:ascii="Bryant Pro Regular" w:eastAsia="Times New Roman" w:hAnsi="Bryant Pro Regular" w:cs="Arial"/>
                <w:szCs w:val="20"/>
              </w:rPr>
              <w:t>-</w:t>
            </w:r>
          </w:p>
        </w:tc>
      </w:tr>
      <w:tr w:rsidR="00CE549A" w:rsidRPr="002B49B0" w:rsidTr="0016450A">
        <w:trPr>
          <w:trHeight w:val="431"/>
        </w:trPr>
        <w:tc>
          <w:tcPr>
            <w:tcW w:w="1276" w:type="dxa"/>
            <w:tcBorders>
              <w:top w:val="nil"/>
              <w:left w:val="nil"/>
              <w:bottom w:val="nil"/>
              <w:right w:val="nil"/>
            </w:tcBorders>
            <w:shd w:val="clear" w:color="auto" w:fill="auto"/>
            <w:noWrap/>
            <w:vAlign w:val="bottom"/>
            <w:hideMark/>
          </w:tcPr>
          <w:p w:rsidR="000B402E" w:rsidRPr="002B49B0" w:rsidRDefault="000B402E" w:rsidP="000B402E">
            <w:pPr>
              <w:spacing w:before="0" w:after="0" w:line="240" w:lineRule="auto"/>
              <w:jc w:val="center"/>
              <w:rPr>
                <w:rFonts w:ascii="Bryant Pro Regular" w:eastAsia="Times New Roman" w:hAnsi="Bryant Pro Regular" w:cs="Arial"/>
                <w:szCs w:val="20"/>
                <w:lang w:val="en-US"/>
              </w:rPr>
            </w:pPr>
          </w:p>
        </w:tc>
        <w:tc>
          <w:tcPr>
            <w:tcW w:w="3371" w:type="dxa"/>
            <w:tcBorders>
              <w:top w:val="nil"/>
              <w:left w:val="single" w:sz="8" w:space="0" w:color="5BC6E8"/>
              <w:bottom w:val="single" w:sz="8" w:space="0" w:color="5BC6E8"/>
              <w:right w:val="nil"/>
            </w:tcBorders>
            <w:shd w:val="clear" w:color="auto" w:fill="auto"/>
            <w:vAlign w:val="center"/>
            <w:hideMark/>
          </w:tcPr>
          <w:p w:rsidR="000B402E" w:rsidRPr="002B49B0" w:rsidRDefault="00CE549A" w:rsidP="000077F7">
            <w:pPr>
              <w:overflowPunct w:val="0"/>
              <w:autoSpaceDE w:val="0"/>
              <w:autoSpaceDN w:val="0"/>
              <w:adjustRightInd w:val="0"/>
              <w:spacing w:before="0" w:after="0" w:line="240" w:lineRule="auto"/>
              <w:jc w:val="both"/>
              <w:textAlignment w:val="baseline"/>
              <w:rPr>
                <w:rFonts w:ascii="Bryant Pro Regular" w:eastAsia="Times New Roman" w:hAnsi="Bryant Pro Regular" w:cs="Arial"/>
                <w:color w:val="FFFFFF" w:themeColor="background1"/>
                <w:szCs w:val="20"/>
              </w:rPr>
            </w:pPr>
            <w:r w:rsidRPr="002B49B0">
              <w:rPr>
                <w:rFonts w:ascii="Bryant Pro Regular" w:eastAsia="Times New Roman" w:hAnsi="Bryant Pro Regular" w:cs="Arial"/>
                <w:szCs w:val="20"/>
              </w:rPr>
              <w:t>Final dividend on Ordinary Shares</w:t>
            </w:r>
          </w:p>
        </w:tc>
        <w:tc>
          <w:tcPr>
            <w:tcW w:w="2152" w:type="dxa"/>
            <w:tcBorders>
              <w:top w:val="nil"/>
              <w:left w:val="nil"/>
              <w:bottom w:val="single" w:sz="8" w:space="0" w:color="5BC6E8"/>
              <w:right w:val="nil"/>
            </w:tcBorders>
            <w:shd w:val="clear" w:color="auto" w:fill="auto"/>
            <w:vAlign w:val="center"/>
            <w:hideMark/>
          </w:tcPr>
          <w:p w:rsidR="000B402E" w:rsidRPr="002B49B0" w:rsidRDefault="000B402E" w:rsidP="000077F7">
            <w:pPr>
              <w:overflowPunct w:val="0"/>
              <w:autoSpaceDE w:val="0"/>
              <w:autoSpaceDN w:val="0"/>
              <w:adjustRightInd w:val="0"/>
              <w:spacing w:before="0" w:after="0" w:line="240" w:lineRule="auto"/>
              <w:jc w:val="center"/>
              <w:textAlignment w:val="baseline"/>
              <w:rPr>
                <w:rFonts w:ascii="Bryant Pro Regular" w:eastAsia="Times New Roman" w:hAnsi="Bryant Pro Regular" w:cs="Arial"/>
                <w:szCs w:val="20"/>
              </w:rPr>
            </w:pPr>
            <w:r w:rsidRPr="002B49B0">
              <w:rPr>
                <w:rFonts w:ascii="Bryant Pro Regular" w:eastAsia="Times New Roman" w:hAnsi="Bryant Pro Regular" w:cs="Arial"/>
                <w:szCs w:val="20"/>
              </w:rPr>
              <w:t>$000s</w:t>
            </w:r>
          </w:p>
        </w:tc>
        <w:tc>
          <w:tcPr>
            <w:tcW w:w="1593" w:type="dxa"/>
            <w:tcBorders>
              <w:top w:val="nil"/>
              <w:left w:val="nil"/>
              <w:bottom w:val="single" w:sz="8" w:space="0" w:color="5BC6E8"/>
              <w:right w:val="nil"/>
            </w:tcBorders>
            <w:shd w:val="clear" w:color="auto" w:fill="auto"/>
            <w:vAlign w:val="center"/>
            <w:hideMark/>
          </w:tcPr>
          <w:p w:rsidR="000B402E" w:rsidRPr="002B49B0" w:rsidRDefault="000B402E" w:rsidP="000077F7">
            <w:pPr>
              <w:overflowPunct w:val="0"/>
              <w:autoSpaceDE w:val="0"/>
              <w:autoSpaceDN w:val="0"/>
              <w:adjustRightInd w:val="0"/>
              <w:spacing w:before="0" w:after="0" w:line="240" w:lineRule="auto"/>
              <w:jc w:val="center"/>
              <w:textAlignment w:val="baseline"/>
              <w:rPr>
                <w:rFonts w:ascii="Bryant Pro Regular" w:eastAsia="Times New Roman" w:hAnsi="Bryant Pro Regular" w:cs="Arial"/>
                <w:szCs w:val="20"/>
              </w:rPr>
            </w:pPr>
            <w:r w:rsidRPr="002B49B0">
              <w:rPr>
                <w:rFonts w:ascii="Bryant Pro Regular" w:eastAsia="Times New Roman" w:hAnsi="Bryant Pro Regular" w:cs="Arial"/>
                <w:szCs w:val="20"/>
              </w:rPr>
              <w:t>-</w:t>
            </w:r>
          </w:p>
        </w:tc>
        <w:tc>
          <w:tcPr>
            <w:tcW w:w="1608" w:type="dxa"/>
            <w:tcBorders>
              <w:top w:val="nil"/>
              <w:left w:val="nil"/>
              <w:bottom w:val="single" w:sz="8" w:space="0" w:color="5BC6E8"/>
              <w:right w:val="single" w:sz="8" w:space="0" w:color="5BC6E8"/>
            </w:tcBorders>
            <w:shd w:val="clear" w:color="auto" w:fill="auto"/>
            <w:vAlign w:val="center"/>
            <w:hideMark/>
          </w:tcPr>
          <w:p w:rsidR="000B402E" w:rsidRPr="002B49B0" w:rsidRDefault="000B402E" w:rsidP="000077F7">
            <w:pPr>
              <w:overflowPunct w:val="0"/>
              <w:autoSpaceDE w:val="0"/>
              <w:autoSpaceDN w:val="0"/>
              <w:adjustRightInd w:val="0"/>
              <w:spacing w:before="0" w:after="0" w:line="240" w:lineRule="auto"/>
              <w:jc w:val="center"/>
              <w:textAlignment w:val="baseline"/>
              <w:rPr>
                <w:rFonts w:ascii="Bryant Pro Regular" w:eastAsia="Times New Roman" w:hAnsi="Bryant Pro Regular" w:cs="Arial"/>
                <w:szCs w:val="20"/>
              </w:rPr>
            </w:pPr>
            <w:r w:rsidRPr="002B49B0">
              <w:rPr>
                <w:rFonts w:ascii="Bryant Pro Regular" w:eastAsia="Times New Roman" w:hAnsi="Bryant Pro Regular" w:cs="Arial"/>
                <w:szCs w:val="20"/>
              </w:rPr>
              <w:t>-</w:t>
            </w:r>
          </w:p>
        </w:tc>
      </w:tr>
    </w:tbl>
    <w:p w:rsidR="000B402E" w:rsidRPr="002B49B0" w:rsidRDefault="000B402E" w:rsidP="000B402E">
      <w:pPr>
        <w:autoSpaceDE w:val="0"/>
        <w:autoSpaceDN w:val="0"/>
        <w:adjustRightInd w:val="0"/>
        <w:spacing w:before="0" w:after="0" w:line="240" w:lineRule="auto"/>
        <w:rPr>
          <w:rFonts w:ascii="Bryant Pro Regular" w:hAnsi="Bryant Pro Regular" w:cs="Arial"/>
          <w:b/>
          <w:bCs/>
          <w:sz w:val="18"/>
          <w:szCs w:val="18"/>
        </w:rPr>
      </w:pPr>
    </w:p>
    <w:p w:rsidR="000B402E" w:rsidRPr="002B49B0" w:rsidRDefault="000B402E" w:rsidP="0016450A">
      <w:pPr>
        <w:pStyle w:val="BodyText"/>
        <w:ind w:left="709" w:firstLine="153"/>
      </w:pPr>
      <w:r w:rsidRPr="002B49B0">
        <w:t xml:space="preserve">(iii) </w:t>
      </w:r>
      <w:r w:rsidRPr="002B49B0">
        <w:rPr>
          <w:i/>
        </w:rPr>
        <w:t>Significant feature of operating performance</w:t>
      </w:r>
      <w:r w:rsidRPr="002B49B0">
        <w:t>:</w:t>
      </w:r>
    </w:p>
    <w:p w:rsidR="0016450A" w:rsidRPr="002B49B0" w:rsidRDefault="000B402E" w:rsidP="00205233">
      <w:pPr>
        <w:pStyle w:val="BodyText"/>
        <w:ind w:left="1134" w:firstLine="142"/>
      </w:pPr>
      <w:r w:rsidRPr="002B49B0">
        <w:t>Refer to the media release.</w:t>
      </w:r>
    </w:p>
    <w:p w:rsidR="000B402E" w:rsidRPr="002B49B0" w:rsidRDefault="000B402E" w:rsidP="0016450A">
      <w:pPr>
        <w:pStyle w:val="BodyText"/>
        <w:ind w:left="709" w:firstLine="153"/>
      </w:pPr>
      <w:proofErr w:type="gramStart"/>
      <w:r w:rsidRPr="002B49B0">
        <w:t xml:space="preserve">(iv) </w:t>
      </w:r>
      <w:r w:rsidRPr="002B49B0">
        <w:rPr>
          <w:i/>
        </w:rPr>
        <w:t>Segmental</w:t>
      </w:r>
      <w:proofErr w:type="gramEnd"/>
      <w:r w:rsidRPr="002B49B0">
        <w:rPr>
          <w:i/>
        </w:rPr>
        <w:t xml:space="preserve"> results:</w:t>
      </w:r>
    </w:p>
    <w:p w:rsidR="000B402E" w:rsidRPr="002B49B0" w:rsidRDefault="000B402E" w:rsidP="000077F7">
      <w:pPr>
        <w:pStyle w:val="BodyText"/>
        <w:ind w:left="1276"/>
      </w:pPr>
      <w:r w:rsidRPr="002B49B0">
        <w:t>Synlait Milk operates in one industry, being the manufacture and sale of milk powder and milk powder related products. The Board makes resource allocation decisions based on expected cash flows and results of the Company’s operations as a whole and the Group therefore has one segment.</w:t>
      </w:r>
    </w:p>
    <w:p w:rsidR="000B402E" w:rsidRPr="002B49B0" w:rsidRDefault="000B402E" w:rsidP="00185A28">
      <w:pPr>
        <w:pStyle w:val="BodyText"/>
        <w:ind w:left="840" w:firstLine="153"/>
      </w:pPr>
      <w:r w:rsidRPr="002B49B0">
        <w:t xml:space="preserve">(v) </w:t>
      </w:r>
      <w:r w:rsidRPr="002B49B0">
        <w:rPr>
          <w:i/>
        </w:rPr>
        <w:t>Discussion of trends in performance:</w:t>
      </w:r>
    </w:p>
    <w:p w:rsidR="000B402E" w:rsidRPr="002B49B0" w:rsidRDefault="000B402E" w:rsidP="000077F7">
      <w:pPr>
        <w:pStyle w:val="BodyText"/>
        <w:ind w:left="993" w:firstLine="283"/>
      </w:pPr>
      <w:r w:rsidRPr="002B49B0">
        <w:t>Refer to the media release.</w:t>
      </w:r>
    </w:p>
    <w:p w:rsidR="000B402E" w:rsidRPr="002B49B0" w:rsidRDefault="000B402E" w:rsidP="0031316B">
      <w:pPr>
        <w:pStyle w:val="Heading3"/>
        <w:numPr>
          <w:ilvl w:val="4"/>
          <w:numId w:val="10"/>
        </w:numPr>
        <w:ind w:left="993"/>
        <w:rPr>
          <w:rFonts w:ascii="Bryant Pro Regular" w:hAnsi="Bryant Pro Regular"/>
        </w:rPr>
      </w:pPr>
      <w:r w:rsidRPr="002B49B0">
        <w:rPr>
          <w:rFonts w:ascii="Bryant Pro Regular" w:hAnsi="Bryant Pro Regular"/>
        </w:rPr>
        <w:t>Audit of financial statements</w:t>
      </w:r>
    </w:p>
    <w:p w:rsidR="000B402E" w:rsidRPr="002B49B0" w:rsidRDefault="000B402E" w:rsidP="000077F7">
      <w:pPr>
        <w:pStyle w:val="BodyText"/>
        <w:ind w:left="993"/>
      </w:pPr>
      <w:r w:rsidRPr="002B49B0">
        <w:t xml:space="preserve">This report is based on financial statements which have been </w:t>
      </w:r>
      <w:r w:rsidR="00004A16" w:rsidRPr="002B49B0">
        <w:t>reviewed</w:t>
      </w:r>
      <w:r w:rsidRPr="002B49B0">
        <w:t xml:space="preserve">. The </w:t>
      </w:r>
      <w:r w:rsidR="00004A16" w:rsidRPr="002B49B0">
        <w:t>review</w:t>
      </w:r>
      <w:r w:rsidRPr="002B49B0">
        <w:t xml:space="preserve"> opinion follows the financial statements and contains no qualifications.</w:t>
      </w:r>
    </w:p>
    <w:p w:rsidR="000B402E" w:rsidRPr="002B49B0" w:rsidRDefault="000B402E" w:rsidP="0031316B">
      <w:pPr>
        <w:pStyle w:val="Heading3"/>
        <w:numPr>
          <w:ilvl w:val="4"/>
          <w:numId w:val="10"/>
        </w:numPr>
        <w:ind w:left="993"/>
        <w:rPr>
          <w:rFonts w:ascii="Bryant Pro Regular" w:hAnsi="Bryant Pro Regular"/>
        </w:rPr>
      </w:pPr>
      <w:r w:rsidRPr="002B49B0">
        <w:rPr>
          <w:rFonts w:ascii="Bryant Pro Regular" w:hAnsi="Bryant Pro Regular"/>
        </w:rPr>
        <w:t>Major changes in trends in the business subsequent to the end of the financial year</w:t>
      </w:r>
    </w:p>
    <w:p w:rsidR="000B402E" w:rsidRPr="002B49B0" w:rsidRDefault="000B402E" w:rsidP="00185A28">
      <w:pPr>
        <w:pStyle w:val="BodyText"/>
        <w:ind w:left="840" w:firstLine="153"/>
      </w:pPr>
      <w:r w:rsidRPr="002B49B0">
        <w:t>Refer to the media release.</w:t>
      </w:r>
    </w:p>
    <w:p w:rsidR="000B402E" w:rsidRPr="002B49B0" w:rsidRDefault="000B402E" w:rsidP="0031316B">
      <w:pPr>
        <w:pStyle w:val="Heading3"/>
        <w:numPr>
          <w:ilvl w:val="4"/>
          <w:numId w:val="10"/>
        </w:numPr>
        <w:ind w:left="993"/>
        <w:rPr>
          <w:rFonts w:ascii="Bryant Pro Regular" w:hAnsi="Bryant Pro Regular"/>
        </w:rPr>
      </w:pPr>
      <w:r w:rsidRPr="002B49B0">
        <w:rPr>
          <w:rFonts w:ascii="Bryant Pro Regular" w:hAnsi="Bryant Pro Regular"/>
        </w:rPr>
        <w:t>Unrealised gains resulting from the revaluation of assets of the parent, any subsidiaries or any associated company</w:t>
      </w:r>
    </w:p>
    <w:p w:rsidR="000077F7" w:rsidRPr="002B49B0" w:rsidRDefault="00F73E7E" w:rsidP="000077F7">
      <w:pPr>
        <w:pStyle w:val="BodyText"/>
        <w:ind w:left="840" w:firstLine="153"/>
      </w:pPr>
      <w:r w:rsidRPr="002B49B0">
        <w:t>Nil</w:t>
      </w:r>
      <w:r w:rsidR="000B402E" w:rsidRPr="002B49B0">
        <w:t xml:space="preserve"> for the </w:t>
      </w:r>
      <w:r w:rsidR="00004A16" w:rsidRPr="002B49B0">
        <w:t xml:space="preserve">half </w:t>
      </w:r>
      <w:r w:rsidR="000B402E" w:rsidRPr="002B49B0">
        <w:t>ye</w:t>
      </w:r>
      <w:r w:rsidRPr="002B49B0">
        <w:t xml:space="preserve">ar ended 31 </w:t>
      </w:r>
      <w:r w:rsidR="00004A16" w:rsidRPr="002B49B0">
        <w:t>January 2017</w:t>
      </w:r>
      <w:r w:rsidRPr="002B49B0">
        <w:t xml:space="preserve"> (</w:t>
      </w:r>
      <w:r w:rsidR="00004A16" w:rsidRPr="002B49B0">
        <w:t xml:space="preserve">January </w:t>
      </w:r>
      <w:r w:rsidRPr="002B49B0">
        <w:t>201</w:t>
      </w:r>
      <w:r w:rsidR="00004A16" w:rsidRPr="002B49B0">
        <w:t>6</w:t>
      </w:r>
      <w:r w:rsidRPr="002B49B0">
        <w:t>: $</w:t>
      </w:r>
      <w:r w:rsidR="00004A16" w:rsidRPr="002B49B0">
        <w:t>nil</w:t>
      </w:r>
      <w:r w:rsidR="000B402E" w:rsidRPr="002B49B0">
        <w:t>).</w:t>
      </w:r>
    </w:p>
    <w:p w:rsidR="00B117E6" w:rsidRPr="002B49B0" w:rsidRDefault="00B117E6" w:rsidP="00B117E6">
      <w:pPr>
        <w:pStyle w:val="ListParagraph"/>
        <w:keepNext/>
        <w:keepLines/>
        <w:numPr>
          <w:ilvl w:val="0"/>
          <w:numId w:val="1"/>
        </w:numPr>
        <w:spacing w:before="480" w:after="0"/>
        <w:contextualSpacing w:val="0"/>
        <w:outlineLvl w:val="0"/>
        <w:rPr>
          <w:rFonts w:ascii="Bryant Pro Regular" w:eastAsiaTheme="majorEastAsia" w:hAnsi="Bryant Pro Regular" w:cstheme="majorBidi"/>
          <w:bCs/>
          <w:caps/>
          <w:vanish/>
          <w:color w:val="5BC6E8" w:themeColor="accent1"/>
          <w:sz w:val="28"/>
          <w:szCs w:val="28"/>
        </w:rPr>
      </w:pPr>
    </w:p>
    <w:p w:rsidR="00B117E6" w:rsidRPr="002B49B0" w:rsidRDefault="00B117E6" w:rsidP="00B117E6">
      <w:pPr>
        <w:pStyle w:val="ListParagraph"/>
        <w:keepNext/>
        <w:keepLines/>
        <w:numPr>
          <w:ilvl w:val="0"/>
          <w:numId w:val="1"/>
        </w:numPr>
        <w:spacing w:before="480" w:after="0"/>
        <w:contextualSpacing w:val="0"/>
        <w:outlineLvl w:val="0"/>
        <w:rPr>
          <w:rFonts w:ascii="Bryant Pro Regular" w:eastAsiaTheme="majorEastAsia" w:hAnsi="Bryant Pro Regular" w:cstheme="majorBidi"/>
          <w:bCs/>
          <w:caps/>
          <w:vanish/>
          <w:color w:val="5BC6E8" w:themeColor="accent1"/>
          <w:sz w:val="28"/>
          <w:szCs w:val="28"/>
        </w:rPr>
      </w:pPr>
    </w:p>
    <w:p w:rsidR="000077F7" w:rsidRPr="002B49B0" w:rsidRDefault="000077F7" w:rsidP="0031316B">
      <w:pPr>
        <w:pStyle w:val="ListParagraph"/>
        <w:keepNext/>
        <w:keepLines/>
        <w:numPr>
          <w:ilvl w:val="0"/>
          <w:numId w:val="10"/>
        </w:numPr>
        <w:spacing w:before="480" w:after="0"/>
        <w:contextualSpacing w:val="0"/>
        <w:outlineLvl w:val="0"/>
        <w:rPr>
          <w:rFonts w:ascii="Bryant Pro Regular" w:eastAsiaTheme="majorEastAsia" w:hAnsi="Bryant Pro Regular" w:cstheme="majorBidi"/>
          <w:bCs/>
          <w:caps/>
          <w:vanish/>
          <w:color w:val="5BC6E8" w:themeColor="accent1"/>
          <w:sz w:val="28"/>
          <w:szCs w:val="28"/>
        </w:rPr>
      </w:pPr>
    </w:p>
    <w:p w:rsidR="000077F7" w:rsidRPr="002B49B0" w:rsidRDefault="000077F7" w:rsidP="0031316B">
      <w:pPr>
        <w:pStyle w:val="ListParagraph"/>
        <w:keepNext/>
        <w:keepLines/>
        <w:numPr>
          <w:ilvl w:val="0"/>
          <w:numId w:val="10"/>
        </w:numPr>
        <w:spacing w:before="480" w:after="0"/>
        <w:contextualSpacing w:val="0"/>
        <w:outlineLvl w:val="0"/>
        <w:rPr>
          <w:rFonts w:ascii="Bryant Pro Regular" w:eastAsiaTheme="majorEastAsia" w:hAnsi="Bryant Pro Regular" w:cstheme="majorBidi"/>
          <w:bCs/>
          <w:caps/>
          <w:vanish/>
          <w:color w:val="5BC6E8" w:themeColor="accent1"/>
          <w:sz w:val="28"/>
          <w:szCs w:val="28"/>
        </w:rPr>
      </w:pPr>
    </w:p>
    <w:p w:rsidR="000B402E" w:rsidRPr="002B49B0" w:rsidRDefault="000B402E" w:rsidP="000077F7">
      <w:pPr>
        <w:pStyle w:val="Heading2"/>
        <w:ind w:left="567" w:hanging="567"/>
        <w:rPr>
          <w:rFonts w:ascii="Bryant Pro Regular" w:hAnsi="Bryant Pro Regular"/>
        </w:rPr>
      </w:pPr>
      <w:r w:rsidRPr="002B49B0">
        <w:rPr>
          <w:rFonts w:ascii="Bryant Pro Regular" w:hAnsi="Bryant Pro Regular"/>
        </w:rPr>
        <w:t>Basis of preparation</w:t>
      </w:r>
    </w:p>
    <w:p w:rsidR="000B402E" w:rsidRPr="002B49B0" w:rsidRDefault="000B402E" w:rsidP="000077F7">
      <w:pPr>
        <w:pStyle w:val="BodyText"/>
      </w:pPr>
      <w:r w:rsidRPr="002B49B0">
        <w:t>These financial statements have been prepared in accordance with New Zealand generally accepted accounting practice (NZ GAAP). They comply with New Zealand equivalents to International Financial Reporting Standards (NZ IFRS), and other applicable New Zealand Financial Reporting Standards, as appropriate for profit</w:t>
      </w:r>
      <w:r w:rsidRPr="002B49B0">
        <w:rPr>
          <w:rFonts w:ascii="Cambria Math" w:hAnsi="Cambria Math" w:cs="Cambria Math"/>
        </w:rPr>
        <w:t>‑</w:t>
      </w:r>
      <w:r w:rsidRPr="002B49B0">
        <w:t>oriented entities. They also comply with International Financial Reporting Standards.</w:t>
      </w:r>
    </w:p>
    <w:p w:rsidR="000B402E" w:rsidRPr="002B49B0" w:rsidRDefault="000B402E" w:rsidP="00B117E6">
      <w:pPr>
        <w:pStyle w:val="Heading2"/>
        <w:ind w:left="567" w:hanging="567"/>
        <w:rPr>
          <w:rFonts w:ascii="Bryant Pro Regular" w:hAnsi="Bryant Pro Regular"/>
        </w:rPr>
      </w:pPr>
      <w:r w:rsidRPr="002B49B0">
        <w:rPr>
          <w:rFonts w:ascii="Bryant Pro Regular" w:hAnsi="Bryant Pro Regular"/>
        </w:rPr>
        <w:t>Accounting policies</w:t>
      </w:r>
    </w:p>
    <w:p w:rsidR="000B402E" w:rsidRPr="002B49B0" w:rsidRDefault="000B402E" w:rsidP="00B117E6">
      <w:pPr>
        <w:pStyle w:val="BodyText"/>
      </w:pPr>
      <w:r w:rsidRPr="002B49B0">
        <w:t>Refer</w:t>
      </w:r>
      <w:r w:rsidR="00181EB8" w:rsidRPr="002B49B0">
        <w:t xml:space="preserve"> to Significant accounting p</w:t>
      </w:r>
      <w:r w:rsidRPr="002B49B0">
        <w:t xml:space="preserve">olicies in the </w:t>
      </w:r>
      <w:r w:rsidR="001200E2">
        <w:t>annual financial statements for the year ended 31 July 2016.</w:t>
      </w:r>
    </w:p>
    <w:p w:rsidR="000B402E" w:rsidRPr="002B49B0" w:rsidRDefault="000B402E" w:rsidP="00B117E6">
      <w:pPr>
        <w:pStyle w:val="Heading2"/>
        <w:ind w:left="567" w:hanging="567"/>
        <w:rPr>
          <w:rFonts w:ascii="Bryant Pro Regular" w:hAnsi="Bryant Pro Regular"/>
        </w:rPr>
      </w:pPr>
      <w:r w:rsidRPr="002B49B0">
        <w:rPr>
          <w:rFonts w:ascii="Bryant Pro Regular" w:hAnsi="Bryant Pro Regular"/>
        </w:rPr>
        <w:t>Changes in accounting policies</w:t>
      </w:r>
    </w:p>
    <w:p w:rsidR="000B402E" w:rsidRPr="002B49B0" w:rsidRDefault="00181EB8" w:rsidP="00B117E6">
      <w:pPr>
        <w:pStyle w:val="BodyText"/>
        <w:rPr>
          <w:rFonts w:cs="Arial"/>
          <w:sz w:val="18"/>
          <w:szCs w:val="18"/>
        </w:rPr>
      </w:pPr>
      <w:r w:rsidRPr="002B49B0">
        <w:t xml:space="preserve">There were no changes in accounting policies during the current </w:t>
      </w:r>
      <w:r w:rsidR="001200E2">
        <w:t>half</w:t>
      </w:r>
      <w:r w:rsidRPr="002B49B0">
        <w:t xml:space="preserve"> year</w:t>
      </w:r>
      <w:r w:rsidR="000B402E" w:rsidRPr="002B49B0">
        <w:t>.</w:t>
      </w:r>
    </w:p>
    <w:p w:rsidR="000B402E" w:rsidRPr="002B49B0" w:rsidRDefault="000B402E" w:rsidP="00B117E6">
      <w:pPr>
        <w:pStyle w:val="Heading2"/>
        <w:ind w:left="567" w:hanging="567"/>
        <w:rPr>
          <w:rFonts w:ascii="Bryant Pro Regular" w:hAnsi="Bryant Pro Regular"/>
        </w:rPr>
      </w:pPr>
      <w:r w:rsidRPr="002B49B0">
        <w:rPr>
          <w:rFonts w:ascii="Bryant Pro Regular" w:hAnsi="Bryant Pro Regular"/>
        </w:rPr>
        <w:t>Audit Report</w:t>
      </w:r>
    </w:p>
    <w:p w:rsidR="000B402E" w:rsidRPr="002B49B0" w:rsidRDefault="00004A16" w:rsidP="00004A16">
      <w:pPr>
        <w:pStyle w:val="BodyText"/>
      </w:pPr>
      <w:r w:rsidRPr="002B49B0">
        <w:t>The financial statements have not been audited. They have been the subject of review by the auditors pursuant to the Statement of Review Engagement Standards RS 1 issued by the External Reporting Board and contain no qualifications.</w:t>
      </w:r>
    </w:p>
    <w:p w:rsidR="000B402E" w:rsidRPr="002B49B0" w:rsidRDefault="000B402E" w:rsidP="00B117E6">
      <w:pPr>
        <w:pStyle w:val="Heading2"/>
        <w:ind w:left="567" w:hanging="567"/>
        <w:rPr>
          <w:rFonts w:ascii="Bryant Pro Regular" w:hAnsi="Bryant Pro Regular"/>
        </w:rPr>
      </w:pPr>
      <w:r w:rsidRPr="002B49B0">
        <w:rPr>
          <w:rFonts w:ascii="Bryant Pro Regular" w:hAnsi="Bryant Pro Regular"/>
        </w:rPr>
        <w:t>Additional information</w:t>
      </w:r>
    </w:p>
    <w:p w:rsidR="000077F7" w:rsidRPr="002B49B0" w:rsidRDefault="000B402E" w:rsidP="00181EB8">
      <w:pPr>
        <w:pStyle w:val="BodyText"/>
      </w:pPr>
      <w:r w:rsidRPr="002B49B0">
        <w:t>Not applicable.</w:t>
      </w:r>
    </w:p>
    <w:p w:rsidR="002B49B0" w:rsidRDefault="002B49B0" w:rsidP="000077F7">
      <w:pPr>
        <w:pStyle w:val="BodyText"/>
        <w:ind w:left="0"/>
      </w:pPr>
    </w:p>
    <w:p w:rsidR="000B402E" w:rsidRPr="002B49B0" w:rsidRDefault="000B402E" w:rsidP="000077F7">
      <w:pPr>
        <w:pStyle w:val="BodyText"/>
        <w:ind w:left="0"/>
      </w:pPr>
      <w:r w:rsidRPr="002B49B0">
        <w:t xml:space="preserve">This </w:t>
      </w:r>
      <w:r w:rsidR="00004A16" w:rsidRPr="002B49B0">
        <w:t xml:space="preserve">half year </w:t>
      </w:r>
      <w:r w:rsidRPr="002B49B0">
        <w:t>report was approved</w:t>
      </w:r>
      <w:r w:rsidR="000077F7" w:rsidRPr="002B49B0">
        <w:t xml:space="preserve"> by the Board of Directors on </w:t>
      </w:r>
      <w:r w:rsidR="00004A16" w:rsidRPr="002B49B0">
        <w:t>29</w:t>
      </w:r>
      <w:r w:rsidR="000077F7" w:rsidRPr="002B49B0">
        <w:t xml:space="preserve"> </w:t>
      </w:r>
      <w:r w:rsidR="00004A16" w:rsidRPr="002B49B0">
        <w:t>March</w:t>
      </w:r>
      <w:r w:rsidR="000077F7" w:rsidRPr="002B49B0">
        <w:t xml:space="preserve"> 201</w:t>
      </w:r>
      <w:r w:rsidR="00004A16" w:rsidRPr="002B49B0">
        <w:t>7</w:t>
      </w:r>
      <w:r w:rsidRPr="002B49B0">
        <w:t>.</w:t>
      </w:r>
    </w:p>
    <w:p w:rsidR="000B402E" w:rsidRPr="002B49B0" w:rsidRDefault="000B402E" w:rsidP="000B402E">
      <w:pPr>
        <w:autoSpaceDE w:val="0"/>
        <w:autoSpaceDN w:val="0"/>
        <w:adjustRightInd w:val="0"/>
        <w:spacing w:before="0" w:after="0" w:line="240" w:lineRule="auto"/>
        <w:rPr>
          <w:rFonts w:ascii="Bryant Pro Regular" w:hAnsi="Bryant Pro Regular" w:cs="Arial"/>
          <w:b/>
          <w:bCs/>
          <w:sz w:val="18"/>
          <w:szCs w:val="18"/>
        </w:rPr>
      </w:pPr>
    </w:p>
    <w:p w:rsidR="000B402E" w:rsidRPr="002B49B0" w:rsidRDefault="000B402E" w:rsidP="000B402E">
      <w:pPr>
        <w:autoSpaceDE w:val="0"/>
        <w:autoSpaceDN w:val="0"/>
        <w:adjustRightInd w:val="0"/>
        <w:spacing w:before="0" w:after="0" w:line="240" w:lineRule="auto"/>
        <w:rPr>
          <w:rFonts w:ascii="Bryant Pro Regular" w:hAnsi="Bryant Pro Regular" w:cs="Arial"/>
          <w:b/>
          <w:bCs/>
          <w:szCs w:val="20"/>
        </w:rPr>
      </w:pPr>
      <w:r w:rsidRPr="002B49B0">
        <w:rPr>
          <w:rFonts w:ascii="Bryant Pro Regular" w:hAnsi="Bryant Pro Regular" w:cs="Arial"/>
          <w:b/>
          <w:bCs/>
          <w:szCs w:val="20"/>
        </w:rPr>
        <w:t>Graeme Milne</w:t>
      </w:r>
    </w:p>
    <w:p w:rsidR="000B402E" w:rsidRPr="002B49B0" w:rsidRDefault="000B402E" w:rsidP="000B402E">
      <w:pPr>
        <w:autoSpaceDE w:val="0"/>
        <w:autoSpaceDN w:val="0"/>
        <w:adjustRightInd w:val="0"/>
        <w:spacing w:before="0" w:after="0" w:line="240" w:lineRule="auto"/>
        <w:rPr>
          <w:rFonts w:ascii="Bryant Pro Regular" w:hAnsi="Bryant Pro Regular" w:cs="Arial"/>
          <w:b/>
          <w:bCs/>
          <w:szCs w:val="20"/>
        </w:rPr>
      </w:pPr>
      <w:r w:rsidRPr="002B49B0">
        <w:rPr>
          <w:rFonts w:ascii="Bryant Pro Regular" w:hAnsi="Bryant Pro Regular" w:cs="Arial"/>
          <w:b/>
          <w:bCs/>
          <w:szCs w:val="20"/>
        </w:rPr>
        <w:t>Chairman</w:t>
      </w:r>
    </w:p>
    <w:sectPr w:rsidR="000B402E" w:rsidRPr="002B49B0" w:rsidSect="0072223E">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134" w:left="1134" w:header="0" w:footer="3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9A5" w:rsidRDefault="003F69A5" w:rsidP="00FD471E">
      <w:pPr>
        <w:spacing w:before="0" w:after="0" w:line="240" w:lineRule="auto"/>
      </w:pPr>
      <w:r>
        <w:separator/>
      </w:r>
    </w:p>
  </w:endnote>
  <w:endnote w:type="continuationSeparator" w:id="0">
    <w:p w:rsidR="003F69A5" w:rsidRDefault="003F69A5" w:rsidP="00FD47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yant Pro Medium">
    <w:panose1 w:val="020B0603040000020003"/>
    <w:charset w:val="00"/>
    <w:family w:val="swiss"/>
    <w:notTrueType/>
    <w:pitch w:val="variable"/>
    <w:sig w:usb0="A00002AF" w:usb1="5000204A" w:usb2="00000000" w:usb3="00000000" w:csb0="0000009F" w:csb1="00000000"/>
  </w:font>
  <w:font w:name="Bryant Pro Regular">
    <w:panose1 w:val="020B0503040000020003"/>
    <w:charset w:val="00"/>
    <w:family w:val="swiss"/>
    <w:notTrueType/>
    <w:pitch w:val="variable"/>
    <w:sig w:usb0="A00002AF" w:usb1="5000204A"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23E" w:rsidRDefault="00722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ryant Pro Regular" w:hAnsi="Bryant Pro Regular"/>
      </w:rPr>
      <w:id w:val="1723945159"/>
      <w:docPartObj>
        <w:docPartGallery w:val="Page Numbers (Bottom of Page)"/>
        <w:docPartUnique/>
      </w:docPartObj>
    </w:sdtPr>
    <w:sdtEndPr/>
    <w:sdtContent>
      <w:p w:rsidR="00D0404E" w:rsidRPr="007205D3" w:rsidRDefault="00D0404E" w:rsidP="00D0404E">
        <w:pPr>
          <w:pStyle w:val="Footer"/>
          <w:pBdr>
            <w:top w:val="single" w:sz="4" w:space="8" w:color="5BC6E8" w:themeColor="accent1"/>
          </w:pBdr>
          <w:rPr>
            <w:rFonts w:ascii="Bryant Pro Regular" w:hAnsi="Bryant Pro Regular"/>
          </w:rPr>
        </w:pPr>
        <w:r w:rsidRPr="007205D3">
          <w:rPr>
            <w:rFonts w:ascii="Bryant Pro Regular" w:hAnsi="Bryant Pro Regular"/>
            <w:bCs/>
            <w:iCs/>
          </w:rPr>
          <w:t xml:space="preserve">Page </w:t>
        </w:r>
        <w:r w:rsidRPr="007205D3">
          <w:rPr>
            <w:rFonts w:cs="Arial"/>
            <w:bCs/>
            <w:iCs/>
          </w:rPr>
          <w:t>│</w:t>
        </w:r>
        <w:r w:rsidRPr="007205D3">
          <w:rPr>
            <w:rFonts w:ascii="Bryant Pro Regular" w:hAnsi="Bryant Pro Regular"/>
            <w:bCs/>
            <w:iCs/>
          </w:rPr>
          <w:fldChar w:fldCharType="begin"/>
        </w:r>
        <w:r w:rsidRPr="007205D3">
          <w:rPr>
            <w:rFonts w:ascii="Bryant Pro Regular" w:hAnsi="Bryant Pro Regular"/>
            <w:bCs/>
            <w:iCs/>
          </w:rPr>
          <w:instrText xml:space="preserve"> PAGE   \* MERGEFORMAT </w:instrText>
        </w:r>
        <w:r w:rsidRPr="007205D3">
          <w:rPr>
            <w:rFonts w:ascii="Bryant Pro Regular" w:hAnsi="Bryant Pro Regular"/>
            <w:bCs/>
            <w:iCs/>
          </w:rPr>
          <w:fldChar w:fldCharType="separate"/>
        </w:r>
        <w:r w:rsidR="003F1D2E">
          <w:rPr>
            <w:rFonts w:ascii="Bryant Pro Regular" w:hAnsi="Bryant Pro Regular"/>
            <w:bCs/>
            <w:iCs/>
            <w:noProof/>
          </w:rPr>
          <w:t>4</w:t>
        </w:r>
        <w:r w:rsidRPr="007205D3">
          <w:rPr>
            <w:rFonts w:ascii="Bryant Pro Regular" w:hAnsi="Bryant Pro Regula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23E" w:rsidRDefault="00722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9A5" w:rsidRDefault="003F69A5" w:rsidP="00FD471E">
      <w:pPr>
        <w:spacing w:before="0" w:after="0" w:line="240" w:lineRule="auto"/>
      </w:pPr>
      <w:r>
        <w:separator/>
      </w:r>
    </w:p>
  </w:footnote>
  <w:footnote w:type="continuationSeparator" w:id="0">
    <w:p w:rsidR="003F69A5" w:rsidRDefault="003F69A5" w:rsidP="00FD471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23E" w:rsidRDefault="00722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78" w:rsidRDefault="008B7F78">
    <w:pPr>
      <w:pStyle w:val="Header"/>
    </w:pPr>
  </w:p>
  <w:p w:rsidR="00D0404E" w:rsidRDefault="00D040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23E" w:rsidRDefault="0072223E">
    <w:pPr>
      <w:pStyle w:val="Header"/>
    </w:pPr>
    <w:r>
      <w:rPr>
        <w:noProof/>
        <w:lang w:eastAsia="en-NZ"/>
      </w:rPr>
      <w:drawing>
        <wp:inline distT="0" distB="0" distL="0" distR="0" wp14:anchorId="43A139E6" wp14:editId="1B3705A6">
          <wp:extent cx="935557" cy="1080000"/>
          <wp:effectExtent l="0" t="0" r="0" b="6350"/>
          <wp:docPr id="5" name="Picture 0" descr="Synlait_masterbrand_pos_rgb_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lait_masterbrand_pos_rgb_MR.jpg"/>
                  <pic:cNvPicPr/>
                </pic:nvPicPr>
                <pic:blipFill>
                  <a:blip r:embed="rId1"/>
                  <a:stretch>
                    <a:fillRect/>
                  </a:stretch>
                </pic:blipFill>
                <pic:spPr>
                  <a:xfrm>
                    <a:off x="0" y="0"/>
                    <a:ext cx="935557" cy="10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EED"/>
    <w:multiLevelType w:val="hybridMultilevel"/>
    <w:tmpl w:val="2E1AFCF2"/>
    <w:lvl w:ilvl="0" w:tplc="9C701A06">
      <w:start w:val="1"/>
      <w:numFmt w:val="bullet"/>
      <w:pStyle w:val="Bullet1"/>
      <w:lvlText w:val="•"/>
      <w:lvlJc w:val="left"/>
      <w:pPr>
        <w:ind w:left="720" w:hanging="360"/>
      </w:pPr>
      <w:rPr>
        <w:rFonts w:ascii="Arial" w:hAnsi="Arial" w:hint="default"/>
        <w:color w:val="5BC6E8" w:themeColor="accen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D283ADB"/>
    <w:multiLevelType w:val="hybridMultilevel"/>
    <w:tmpl w:val="58A29980"/>
    <w:lvl w:ilvl="0" w:tplc="3B0A6C70">
      <w:start w:val="1"/>
      <w:numFmt w:val="bullet"/>
      <w:pStyle w:val="Bullet1indented"/>
      <w:lvlText w:val="­"/>
      <w:lvlJc w:val="left"/>
      <w:pPr>
        <w:ind w:left="720" w:hanging="360"/>
      </w:pPr>
      <w:rPr>
        <w:rFonts w:ascii="Courier New" w:hAnsi="Courier New" w:hint="default"/>
        <w:color w:val="5BC6E8" w:themeColor="accen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4DC43A3"/>
    <w:multiLevelType w:val="multilevel"/>
    <w:tmpl w:val="1C6EFFEA"/>
    <w:lvl w:ilvl="0">
      <w:start w:val="1"/>
      <w:numFmt w:val="decimal"/>
      <w:pStyle w:val="Heading1"/>
      <w:lvlText w:val="%1."/>
      <w:lvlJc w:val="left"/>
      <w:pPr>
        <w:ind w:left="1440" w:hanging="360"/>
      </w:pPr>
      <w:rPr>
        <w:rFonts w:ascii="Arial" w:hAnsi="Arial" w:hint="default"/>
      </w:rPr>
    </w:lvl>
    <w:lvl w:ilvl="1">
      <w:start w:val="1"/>
      <w:numFmt w:val="decimal"/>
      <w:pStyle w:val="Heading2"/>
      <w:lvlText w:val="%1.%2"/>
      <w:lvlJc w:val="left"/>
      <w:pPr>
        <w:ind w:left="1800" w:hanging="360"/>
      </w:pPr>
      <w:rPr>
        <w:rFonts w:hint="default"/>
        <w:b w:val="0"/>
        <w:sz w:val="26"/>
        <w:szCs w:val="26"/>
      </w:rPr>
    </w:lvl>
    <w:lvl w:ilvl="2">
      <w:start w:val="1"/>
      <w:numFmt w:val="decimal"/>
      <w:pStyle w:val="Heading3"/>
      <w:lvlText w:val="%1.%2.%3"/>
      <w:lvlJc w:val="left"/>
      <w:pPr>
        <w:ind w:left="2160" w:hanging="360"/>
      </w:pPr>
      <w:rPr>
        <w:rFonts w:ascii="Arial" w:hAnsi="Arial"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b w:val="0"/>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 w15:restartNumberingAfterBreak="0">
    <w:nsid w:val="2DCF0777"/>
    <w:multiLevelType w:val="hybridMultilevel"/>
    <w:tmpl w:val="52AE41D8"/>
    <w:lvl w:ilvl="0" w:tplc="7D886A10">
      <w:start w:val="1"/>
      <w:numFmt w:val="bullet"/>
      <w:pStyle w:val="ListBullet"/>
      <w:lvlText w:val="‒"/>
      <w:lvlJc w:val="left"/>
      <w:pPr>
        <w:ind w:left="1211" w:hanging="360"/>
      </w:pPr>
      <w:rPr>
        <w:rFonts w:ascii="Arial" w:hAnsi="Aria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 w15:restartNumberingAfterBreak="0">
    <w:nsid w:val="307A76E5"/>
    <w:multiLevelType w:val="hybridMultilevel"/>
    <w:tmpl w:val="C2F49324"/>
    <w:lvl w:ilvl="0" w:tplc="5F080EA4">
      <w:start w:val="1"/>
      <w:numFmt w:val="bullet"/>
      <w:pStyle w:val="Bullet2"/>
      <w:lvlText w:val=""/>
      <w:lvlJc w:val="left"/>
      <w:pPr>
        <w:ind w:left="1571" w:hanging="360"/>
      </w:pPr>
      <w:rPr>
        <w:rFonts w:ascii="Wingdings" w:hAnsi="Wingdings" w:hint="default"/>
        <w:color w:val="5BC6E8" w:themeColor="accent1"/>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5" w15:restartNumberingAfterBreak="0">
    <w:nsid w:val="4537243F"/>
    <w:multiLevelType w:val="hybridMultilevel"/>
    <w:tmpl w:val="E30A9EA4"/>
    <w:lvl w:ilvl="0" w:tplc="6EBA2CE6">
      <w:start w:val="1"/>
      <w:numFmt w:val="lowerLetter"/>
      <w:pStyle w:val="ListNumber"/>
      <w:lvlText w:val="%1."/>
      <w:lvlJc w:val="left"/>
      <w:pPr>
        <w:ind w:left="1211" w:hanging="360"/>
      </w:p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6" w15:restartNumberingAfterBreak="0">
    <w:nsid w:val="4B0D6F05"/>
    <w:multiLevelType w:val="multilevel"/>
    <w:tmpl w:val="54A48502"/>
    <w:lvl w:ilvl="0">
      <w:start w:val="1"/>
      <w:numFmt w:val="decimal"/>
      <w:pStyle w:val="ListNumber1"/>
      <w:lvlText w:val="%1."/>
      <w:lvlJc w:val="left"/>
      <w:pPr>
        <w:ind w:left="786" w:hanging="360"/>
      </w:pPr>
      <w:rPr>
        <w:rFonts w:hint="default"/>
        <w:color w:val="5BC6E8" w:themeColor="accent1"/>
      </w:rPr>
    </w:lvl>
    <w:lvl w:ilvl="1">
      <w:start w:val="1"/>
      <w:numFmt w:val="decimal"/>
      <w:pStyle w:val="ListNumber2"/>
      <w:lvlText w:val="%1.%2."/>
      <w:lvlJc w:val="left"/>
      <w:pPr>
        <w:ind w:left="1218" w:hanging="432"/>
      </w:pPr>
      <w:rPr>
        <w:rFonts w:hint="default"/>
        <w:color w:val="5BC6E8" w:themeColor="accent1"/>
      </w:rPr>
    </w:lvl>
    <w:lvl w:ilvl="2">
      <w:start w:val="1"/>
      <w:numFmt w:val="decimal"/>
      <w:pStyle w:val="ListNumberthree"/>
      <w:lvlText w:val="%1.%2.%3."/>
      <w:lvlJc w:val="left"/>
      <w:pPr>
        <w:ind w:left="1650" w:hanging="504"/>
      </w:pPr>
      <w:rPr>
        <w:rFonts w:hint="default"/>
        <w:b w:val="0"/>
        <w:color w:val="5BC6E8" w:themeColor="accent1"/>
      </w:rPr>
    </w:lvl>
    <w:lvl w:ilvl="3">
      <w:start w:val="1"/>
      <w:numFmt w:val="decimal"/>
      <w:pStyle w:val="ListNumberFour"/>
      <w:lvlText w:val="%1.%2.%3.%4."/>
      <w:lvlJc w:val="left"/>
      <w:pPr>
        <w:ind w:left="2154" w:hanging="648"/>
      </w:pPr>
      <w:rPr>
        <w:rFonts w:hint="default"/>
        <w:color w:val="5BC6E8" w:themeColor="accent1"/>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7" w15:restartNumberingAfterBreak="0">
    <w:nsid w:val="711A39D4"/>
    <w:multiLevelType w:val="multilevel"/>
    <w:tmpl w:val="1409001D"/>
    <w:styleLink w:val="SynliatBullet"/>
    <w:lvl w:ilvl="0">
      <w:start w:val="1"/>
      <w:numFmt w:val="bullet"/>
      <w:lvlText w:val="‒"/>
      <w:lvlJc w:val="left"/>
      <w:pPr>
        <w:ind w:left="360" w:hanging="360"/>
      </w:pPr>
      <w:rPr>
        <w:rFonts w:ascii="Arial" w:hAnsi="Aria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836FFB"/>
    <w:multiLevelType w:val="multilevel"/>
    <w:tmpl w:val="F52E8222"/>
    <w:styleLink w:val="SynlaitNumberedList"/>
    <w:lvl w:ilvl="0">
      <w:start w:val="1"/>
      <w:numFmt w:val="decimal"/>
      <w:lvlText w:val="%1."/>
      <w:lvlJc w:val="left"/>
      <w:pPr>
        <w:ind w:left="1440" w:hanging="360"/>
      </w:pPr>
      <w:rPr>
        <w:rFonts w:ascii="Arial" w:hAnsi="Arial" w:hint="default"/>
      </w:rPr>
    </w:lvl>
    <w:lvl w:ilvl="1">
      <w:start w:val="1"/>
      <w:numFmt w:val="decimal"/>
      <w:lvlText w:val="%1.%2"/>
      <w:lvlJc w:val="left"/>
      <w:pPr>
        <w:ind w:left="1800" w:hanging="360"/>
      </w:pPr>
      <w:rPr>
        <w:rFonts w:hint="default"/>
      </w:rPr>
    </w:lvl>
    <w:lvl w:ilvl="2">
      <w:start w:val="1"/>
      <w:numFmt w:val="decimal"/>
      <w:lvlText w:val="%1.%2.%3"/>
      <w:lvlJc w:val="left"/>
      <w:pPr>
        <w:ind w:left="2160" w:hanging="360"/>
      </w:pPr>
      <w:rPr>
        <w:rFonts w:ascii="Arial" w:hAnsi="Arial"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8"/>
    <w:lvlOverride w:ilvl="0">
      <w:lvl w:ilvl="0">
        <w:start w:val="1"/>
        <w:numFmt w:val="decimal"/>
        <w:lvlText w:val="%1."/>
        <w:lvlJc w:val="left"/>
        <w:pPr>
          <w:ind w:left="1440" w:hanging="360"/>
        </w:pPr>
        <w:rPr>
          <w:rFonts w:ascii="Bryant Pro Medium" w:hAnsi="Bryant Pro Medium" w:hint="default"/>
        </w:rPr>
      </w:lvl>
    </w:lvlOverride>
    <w:lvlOverride w:ilvl="1">
      <w:lvl w:ilvl="1">
        <w:start w:val="1"/>
        <w:numFmt w:val="decimal"/>
        <w:lvlText w:val="%1.%2"/>
        <w:lvlJc w:val="left"/>
        <w:pPr>
          <w:ind w:left="1800" w:hanging="360"/>
        </w:pPr>
        <w:rPr>
          <w:rFonts w:hint="default"/>
          <w:sz w:val="26"/>
          <w:szCs w:val="26"/>
        </w:rPr>
      </w:lvl>
    </w:lvlOverride>
    <w:lvlOverride w:ilvl="2">
      <w:lvl w:ilvl="2">
        <w:start w:val="1"/>
        <w:numFmt w:val="decimal"/>
        <w:lvlText w:val="%1.%2.%3"/>
        <w:lvlJc w:val="left"/>
        <w:pPr>
          <w:ind w:left="2160" w:hanging="360"/>
        </w:pPr>
        <w:rPr>
          <w:rFonts w:ascii="Bryant Pro Medium" w:hAnsi="Bryant Pro Medium" w:hint="default"/>
        </w:rPr>
      </w:lvl>
    </w:lvlOverride>
  </w:num>
  <w:num w:numId="2">
    <w:abstractNumId w:val="3"/>
  </w:num>
  <w:num w:numId="3">
    <w:abstractNumId w:val="5"/>
  </w:num>
  <w:num w:numId="4">
    <w:abstractNumId w:val="6"/>
  </w:num>
  <w:num w:numId="5">
    <w:abstractNumId w:val="0"/>
  </w:num>
  <w:num w:numId="6">
    <w:abstractNumId w:val="1"/>
  </w:num>
  <w:num w:numId="7">
    <w:abstractNumId w:val="4"/>
  </w:num>
  <w:num w:numId="8">
    <w:abstractNumId w:val="8"/>
  </w:num>
  <w:num w:numId="9">
    <w:abstractNumId w:val="7"/>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24"/>
    <w:rsid w:val="00004A16"/>
    <w:rsid w:val="000077F7"/>
    <w:rsid w:val="0001361C"/>
    <w:rsid w:val="00084D06"/>
    <w:rsid w:val="000B402E"/>
    <w:rsid w:val="000C5088"/>
    <w:rsid w:val="0010310E"/>
    <w:rsid w:val="00117CAF"/>
    <w:rsid w:val="001200E2"/>
    <w:rsid w:val="0016450A"/>
    <w:rsid w:val="001774E9"/>
    <w:rsid w:val="00181EB8"/>
    <w:rsid w:val="00185A28"/>
    <w:rsid w:val="00185A6B"/>
    <w:rsid w:val="001A7719"/>
    <w:rsid w:val="001D4365"/>
    <w:rsid w:val="00205233"/>
    <w:rsid w:val="00262957"/>
    <w:rsid w:val="0027709B"/>
    <w:rsid w:val="002A3F50"/>
    <w:rsid w:val="002B0485"/>
    <w:rsid w:val="002B49B0"/>
    <w:rsid w:val="0031316B"/>
    <w:rsid w:val="00321F3D"/>
    <w:rsid w:val="003653CD"/>
    <w:rsid w:val="003850CA"/>
    <w:rsid w:val="00392B1B"/>
    <w:rsid w:val="003A31CA"/>
    <w:rsid w:val="003F1D2E"/>
    <w:rsid w:val="003F69A5"/>
    <w:rsid w:val="00440CE1"/>
    <w:rsid w:val="004D5C75"/>
    <w:rsid w:val="0055667D"/>
    <w:rsid w:val="00573FEE"/>
    <w:rsid w:val="005A2F05"/>
    <w:rsid w:val="005D03A1"/>
    <w:rsid w:val="0064110A"/>
    <w:rsid w:val="0064368A"/>
    <w:rsid w:val="00691596"/>
    <w:rsid w:val="006D07E1"/>
    <w:rsid w:val="006F03AF"/>
    <w:rsid w:val="0070426D"/>
    <w:rsid w:val="00717F64"/>
    <w:rsid w:val="007205D3"/>
    <w:rsid w:val="0072223E"/>
    <w:rsid w:val="007628C9"/>
    <w:rsid w:val="0080288D"/>
    <w:rsid w:val="00813E9A"/>
    <w:rsid w:val="00882AAC"/>
    <w:rsid w:val="008B0F17"/>
    <w:rsid w:val="008B29D8"/>
    <w:rsid w:val="008B7F78"/>
    <w:rsid w:val="008C3728"/>
    <w:rsid w:val="008D75F3"/>
    <w:rsid w:val="0090415E"/>
    <w:rsid w:val="00906541"/>
    <w:rsid w:val="009100F6"/>
    <w:rsid w:val="009205BE"/>
    <w:rsid w:val="00921A2B"/>
    <w:rsid w:val="00944740"/>
    <w:rsid w:val="009556F4"/>
    <w:rsid w:val="00964724"/>
    <w:rsid w:val="00997224"/>
    <w:rsid w:val="009B5618"/>
    <w:rsid w:val="009C73F5"/>
    <w:rsid w:val="009E767D"/>
    <w:rsid w:val="009F6618"/>
    <w:rsid w:val="00AA5731"/>
    <w:rsid w:val="00B02F7F"/>
    <w:rsid w:val="00B05EA3"/>
    <w:rsid w:val="00B117E6"/>
    <w:rsid w:val="00B22D19"/>
    <w:rsid w:val="00B8622D"/>
    <w:rsid w:val="00BA442E"/>
    <w:rsid w:val="00C0322C"/>
    <w:rsid w:val="00C5168B"/>
    <w:rsid w:val="00C7658E"/>
    <w:rsid w:val="00CB1FE4"/>
    <w:rsid w:val="00CD7513"/>
    <w:rsid w:val="00CE549A"/>
    <w:rsid w:val="00D0404E"/>
    <w:rsid w:val="00D2264E"/>
    <w:rsid w:val="00D354DE"/>
    <w:rsid w:val="00D527E4"/>
    <w:rsid w:val="00D53E8D"/>
    <w:rsid w:val="00D62CAC"/>
    <w:rsid w:val="00D84C02"/>
    <w:rsid w:val="00D868B3"/>
    <w:rsid w:val="00DC761A"/>
    <w:rsid w:val="00DD0971"/>
    <w:rsid w:val="00DE7629"/>
    <w:rsid w:val="00E56716"/>
    <w:rsid w:val="00E64A47"/>
    <w:rsid w:val="00E725E0"/>
    <w:rsid w:val="00E76CB1"/>
    <w:rsid w:val="00E76CC5"/>
    <w:rsid w:val="00EC757C"/>
    <w:rsid w:val="00F5066E"/>
    <w:rsid w:val="00F57B10"/>
    <w:rsid w:val="00F6674C"/>
    <w:rsid w:val="00F66CE1"/>
    <w:rsid w:val="00F73E7E"/>
    <w:rsid w:val="00F870B2"/>
    <w:rsid w:val="00FD47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A00EC5-A58F-4EF3-9CA5-69244DFE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4A47"/>
    <w:pPr>
      <w:spacing w:before="120" w:after="60"/>
    </w:pPr>
    <w:rPr>
      <w:rFonts w:ascii="Arial" w:hAnsi="Arial"/>
      <w:sz w:val="20"/>
    </w:rPr>
  </w:style>
  <w:style w:type="paragraph" w:styleId="Heading1">
    <w:name w:val="heading 1"/>
    <w:basedOn w:val="Normal"/>
    <w:next w:val="BodyText"/>
    <w:link w:val="Heading1Char"/>
    <w:uiPriority w:val="9"/>
    <w:qFormat/>
    <w:rsid w:val="00717F64"/>
    <w:pPr>
      <w:keepNext/>
      <w:keepLines/>
      <w:numPr>
        <w:numId w:val="10"/>
      </w:numPr>
      <w:spacing w:before="480" w:after="0"/>
      <w:outlineLvl w:val="0"/>
    </w:pPr>
    <w:rPr>
      <w:rFonts w:ascii="Bryant Pro Medium" w:eastAsiaTheme="majorEastAsia" w:hAnsi="Bryant Pro Medium" w:cstheme="majorBidi"/>
      <w:bCs/>
      <w:caps/>
      <w:color w:val="5BC6E8" w:themeColor="accent1"/>
      <w:sz w:val="28"/>
      <w:szCs w:val="28"/>
    </w:rPr>
  </w:style>
  <w:style w:type="paragraph" w:styleId="Heading2">
    <w:name w:val="heading 2"/>
    <w:basedOn w:val="Normal"/>
    <w:next w:val="BodyText"/>
    <w:link w:val="Heading2Char"/>
    <w:uiPriority w:val="9"/>
    <w:unhideWhenUsed/>
    <w:qFormat/>
    <w:rsid w:val="00717F64"/>
    <w:pPr>
      <w:keepNext/>
      <w:keepLines/>
      <w:numPr>
        <w:ilvl w:val="1"/>
        <w:numId w:val="10"/>
      </w:numPr>
      <w:spacing w:before="200" w:after="0"/>
      <w:outlineLvl w:val="1"/>
    </w:pPr>
    <w:rPr>
      <w:rFonts w:ascii="Bryant Pro Medium" w:eastAsiaTheme="majorEastAsia" w:hAnsi="Bryant Pro Medium" w:cstheme="majorBidi"/>
      <w:bCs/>
      <w:color w:val="5BC6E8" w:themeColor="accent1"/>
      <w:sz w:val="26"/>
      <w:szCs w:val="26"/>
    </w:rPr>
  </w:style>
  <w:style w:type="paragraph" w:styleId="Heading3">
    <w:name w:val="heading 3"/>
    <w:basedOn w:val="Normal"/>
    <w:next w:val="Normal"/>
    <w:link w:val="Heading3Char"/>
    <w:uiPriority w:val="9"/>
    <w:unhideWhenUsed/>
    <w:qFormat/>
    <w:rsid w:val="00717F64"/>
    <w:pPr>
      <w:keepNext/>
      <w:keepLines/>
      <w:numPr>
        <w:ilvl w:val="2"/>
        <w:numId w:val="10"/>
      </w:numPr>
      <w:spacing w:before="200" w:after="0"/>
      <w:outlineLvl w:val="2"/>
    </w:pPr>
    <w:rPr>
      <w:rFonts w:ascii="Bryant Pro Medium" w:eastAsiaTheme="majorEastAsia" w:hAnsi="Bryant Pro Medium" w:cstheme="majorBidi"/>
      <w:bCs/>
      <w:color w:val="5BC6E8" w:themeColor="accent1"/>
    </w:rPr>
  </w:style>
  <w:style w:type="paragraph" w:styleId="Heading4">
    <w:name w:val="heading 4"/>
    <w:basedOn w:val="Normal"/>
    <w:next w:val="Normal"/>
    <w:link w:val="Heading4Char"/>
    <w:uiPriority w:val="9"/>
    <w:unhideWhenUsed/>
    <w:qFormat/>
    <w:rsid w:val="00813E9A"/>
    <w:pPr>
      <w:keepNext/>
      <w:keepLines/>
      <w:spacing w:before="200" w:after="0"/>
      <w:ind w:left="851"/>
      <w:outlineLvl w:val="3"/>
    </w:pPr>
    <w:rPr>
      <w:rFonts w:ascii="Bryant Pro Regular" w:eastAsiaTheme="majorEastAsia" w:hAnsi="Bryant Pro Regular" w:cstheme="majorBidi"/>
      <w:bCs/>
      <w:iCs/>
      <w:color w:val="5BC6E8" w:themeColor="accent1"/>
      <w:sz w:val="22"/>
    </w:rPr>
  </w:style>
  <w:style w:type="paragraph" w:styleId="Heading5">
    <w:name w:val="heading 5"/>
    <w:basedOn w:val="Normal"/>
    <w:next w:val="Normal"/>
    <w:link w:val="Heading5Char"/>
    <w:uiPriority w:val="9"/>
    <w:unhideWhenUsed/>
    <w:qFormat/>
    <w:rsid w:val="00813E9A"/>
    <w:pPr>
      <w:keepNext/>
      <w:keepLines/>
      <w:spacing w:before="40" w:after="0"/>
      <w:outlineLvl w:val="4"/>
    </w:pPr>
    <w:rPr>
      <w:rFonts w:ascii="Bryant Pro Regular" w:eastAsiaTheme="majorEastAsia" w:hAnsi="Bryant Pro Regular" w:cstheme="majorBidi"/>
      <w:color w:val="1DA7D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361C"/>
    <w:pPr>
      <w:spacing w:before="0" w:after="320" w:line="240" w:lineRule="auto"/>
    </w:pPr>
    <w:rPr>
      <w:rFonts w:ascii="Bryant Pro Medium" w:eastAsiaTheme="majorEastAsia" w:hAnsi="Bryant Pro Medium" w:cstheme="majorBidi"/>
      <w:caps/>
      <w:color w:val="5BC6E8" w:themeColor="accent1"/>
      <w:spacing w:val="5"/>
      <w:kern w:val="28"/>
      <w:sz w:val="52"/>
      <w:szCs w:val="52"/>
    </w:rPr>
  </w:style>
  <w:style w:type="character" w:customStyle="1" w:styleId="TitleChar">
    <w:name w:val="Title Char"/>
    <w:basedOn w:val="DefaultParagraphFont"/>
    <w:link w:val="Title"/>
    <w:uiPriority w:val="10"/>
    <w:rsid w:val="0001361C"/>
    <w:rPr>
      <w:rFonts w:ascii="Bryant Pro Medium" w:eastAsiaTheme="majorEastAsia" w:hAnsi="Bryant Pro Medium" w:cstheme="majorBidi"/>
      <w:caps/>
      <w:color w:val="5BC6E8" w:themeColor="accent1"/>
      <w:spacing w:val="5"/>
      <w:kern w:val="28"/>
      <w:sz w:val="52"/>
      <w:szCs w:val="52"/>
    </w:rPr>
  </w:style>
  <w:style w:type="character" w:customStyle="1" w:styleId="Heading1Char">
    <w:name w:val="Heading 1 Char"/>
    <w:basedOn w:val="DefaultParagraphFont"/>
    <w:link w:val="Heading1"/>
    <w:uiPriority w:val="9"/>
    <w:rsid w:val="00717F64"/>
    <w:rPr>
      <w:rFonts w:ascii="Bryant Pro Medium" w:eastAsiaTheme="majorEastAsia" w:hAnsi="Bryant Pro Medium" w:cstheme="majorBidi"/>
      <w:bCs/>
      <w:caps/>
      <w:color w:val="5BC6E8" w:themeColor="accent1"/>
      <w:sz w:val="28"/>
      <w:szCs w:val="28"/>
    </w:rPr>
  </w:style>
  <w:style w:type="table" w:customStyle="1" w:styleId="STABLE">
    <w:name w:val="STABLE"/>
    <w:basedOn w:val="TableNormal"/>
    <w:uiPriority w:val="99"/>
    <w:qFormat/>
    <w:rsid w:val="005D03A1"/>
    <w:pPr>
      <w:spacing w:after="0" w:line="240" w:lineRule="auto"/>
    </w:pPr>
    <w:rPr>
      <w:rFonts w:ascii="Calibri" w:eastAsia="SimSun" w:hAnsi="Calibri" w:cs="Times New Roman"/>
      <w:sz w:val="20"/>
      <w:szCs w:val="20"/>
      <w:lang w:eastAsia="en-NZ"/>
    </w:rPr>
    <w:tblPr>
      <w:tblBorders>
        <w:top w:val="single" w:sz="4" w:space="0" w:color="939393" w:themeColor="text1"/>
        <w:left w:val="single" w:sz="4" w:space="0" w:color="939393" w:themeColor="text1"/>
        <w:bottom w:val="single" w:sz="4" w:space="0" w:color="939393" w:themeColor="text1"/>
        <w:right w:val="single" w:sz="4" w:space="0" w:color="939393" w:themeColor="text1"/>
        <w:insideH w:val="single" w:sz="4" w:space="0" w:color="939393" w:themeColor="text1"/>
        <w:insideV w:val="single" w:sz="4" w:space="0" w:color="939393" w:themeColor="text1"/>
      </w:tblBorders>
    </w:tblPr>
    <w:tblStylePr w:type="firstRow">
      <w:rPr>
        <w:b w:val="0"/>
      </w:rPr>
      <w:tblPr/>
      <w:tcPr>
        <w:shd w:val="clear" w:color="auto" w:fill="D9D9D9" w:themeFill="background1" w:themeFillShade="D9"/>
      </w:tcPr>
    </w:tblStylePr>
  </w:style>
  <w:style w:type="character" w:customStyle="1" w:styleId="Heading2Char">
    <w:name w:val="Heading 2 Char"/>
    <w:basedOn w:val="DefaultParagraphFont"/>
    <w:link w:val="Heading2"/>
    <w:uiPriority w:val="9"/>
    <w:rsid w:val="00717F64"/>
    <w:rPr>
      <w:rFonts w:ascii="Bryant Pro Medium" w:eastAsiaTheme="majorEastAsia" w:hAnsi="Bryant Pro Medium" w:cstheme="majorBidi"/>
      <w:bCs/>
      <w:color w:val="5BC6E8" w:themeColor="accent1"/>
      <w:sz w:val="26"/>
      <w:szCs w:val="26"/>
    </w:rPr>
  </w:style>
  <w:style w:type="paragraph" w:styleId="Header">
    <w:name w:val="header"/>
    <w:basedOn w:val="Normal"/>
    <w:link w:val="HeaderChar"/>
    <w:uiPriority w:val="99"/>
    <w:unhideWhenUsed/>
    <w:rsid w:val="00FD471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D471E"/>
    <w:rPr>
      <w:rFonts w:ascii="Arial" w:hAnsi="Arial"/>
      <w:sz w:val="20"/>
    </w:rPr>
  </w:style>
  <w:style w:type="paragraph" w:styleId="Footer">
    <w:name w:val="footer"/>
    <w:basedOn w:val="Normal"/>
    <w:link w:val="FooterChar"/>
    <w:uiPriority w:val="99"/>
    <w:unhideWhenUsed/>
    <w:rsid w:val="00FD471E"/>
    <w:pPr>
      <w:tabs>
        <w:tab w:val="center" w:pos="4513"/>
        <w:tab w:val="right" w:pos="9026"/>
      </w:tabs>
      <w:spacing w:before="0" w:after="0" w:line="240" w:lineRule="auto"/>
      <w:jc w:val="center"/>
    </w:pPr>
    <w:rPr>
      <w:sz w:val="16"/>
    </w:rPr>
  </w:style>
  <w:style w:type="character" w:customStyle="1" w:styleId="FooterChar">
    <w:name w:val="Footer Char"/>
    <w:basedOn w:val="DefaultParagraphFont"/>
    <w:link w:val="Footer"/>
    <w:uiPriority w:val="99"/>
    <w:rsid w:val="00FD471E"/>
    <w:rPr>
      <w:rFonts w:ascii="Arial" w:hAnsi="Arial"/>
      <w:sz w:val="16"/>
    </w:rPr>
  </w:style>
  <w:style w:type="paragraph" w:styleId="BalloonText">
    <w:name w:val="Balloon Text"/>
    <w:basedOn w:val="Normal"/>
    <w:link w:val="BalloonTextChar"/>
    <w:uiPriority w:val="99"/>
    <w:semiHidden/>
    <w:unhideWhenUsed/>
    <w:rsid w:val="00FD471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71E"/>
    <w:rPr>
      <w:rFonts w:ascii="Tahoma" w:hAnsi="Tahoma" w:cs="Tahoma"/>
      <w:sz w:val="16"/>
      <w:szCs w:val="16"/>
    </w:rPr>
  </w:style>
  <w:style w:type="paragraph" w:styleId="Subtitle">
    <w:name w:val="Subtitle"/>
    <w:aliases w:val="AUTHOR"/>
    <w:basedOn w:val="Normal"/>
    <w:next w:val="Normal"/>
    <w:link w:val="SubtitleChar"/>
    <w:uiPriority w:val="11"/>
    <w:qFormat/>
    <w:rsid w:val="0001361C"/>
    <w:pPr>
      <w:numPr>
        <w:ilvl w:val="1"/>
      </w:numPr>
      <w:spacing w:before="0" w:after="0"/>
    </w:pPr>
    <w:rPr>
      <w:rFonts w:ascii="Bryant Pro Medium" w:eastAsiaTheme="majorEastAsia" w:hAnsi="Bryant Pro Medium" w:cstheme="majorBidi"/>
      <w:iCs/>
      <w:caps/>
      <w:color w:val="494949" w:themeColor="text1" w:themeShade="80"/>
      <w:sz w:val="24"/>
      <w:szCs w:val="24"/>
    </w:rPr>
  </w:style>
  <w:style w:type="character" w:customStyle="1" w:styleId="SubtitleChar">
    <w:name w:val="Subtitle Char"/>
    <w:aliases w:val="AUTHOR Char"/>
    <w:basedOn w:val="DefaultParagraphFont"/>
    <w:link w:val="Subtitle"/>
    <w:uiPriority w:val="11"/>
    <w:rsid w:val="0001361C"/>
    <w:rPr>
      <w:rFonts w:ascii="Bryant Pro Medium" w:eastAsiaTheme="majorEastAsia" w:hAnsi="Bryant Pro Medium" w:cstheme="majorBidi"/>
      <w:iCs/>
      <w:caps/>
      <w:color w:val="494949" w:themeColor="text1" w:themeShade="80"/>
      <w:sz w:val="24"/>
      <w:szCs w:val="24"/>
    </w:rPr>
  </w:style>
  <w:style w:type="numbering" w:customStyle="1" w:styleId="SynlaitNumberedList">
    <w:name w:val="Synlait Numbered List"/>
    <w:uiPriority w:val="99"/>
    <w:rsid w:val="00F6674C"/>
    <w:pPr>
      <w:numPr>
        <w:numId w:val="8"/>
      </w:numPr>
    </w:pPr>
  </w:style>
  <w:style w:type="paragraph" w:styleId="BodyText">
    <w:name w:val="Body Text"/>
    <w:basedOn w:val="Normal"/>
    <w:link w:val="BodyTextChar"/>
    <w:uiPriority w:val="99"/>
    <w:unhideWhenUsed/>
    <w:qFormat/>
    <w:rsid w:val="00813E9A"/>
    <w:pPr>
      <w:spacing w:before="60" w:after="120"/>
      <w:ind w:left="567"/>
    </w:pPr>
    <w:rPr>
      <w:rFonts w:ascii="Bryant Pro Regular" w:hAnsi="Bryant Pro Regular"/>
    </w:rPr>
  </w:style>
  <w:style w:type="character" w:customStyle="1" w:styleId="Heading3Char">
    <w:name w:val="Heading 3 Char"/>
    <w:basedOn w:val="DefaultParagraphFont"/>
    <w:link w:val="Heading3"/>
    <w:uiPriority w:val="9"/>
    <w:rsid w:val="00717F64"/>
    <w:rPr>
      <w:rFonts w:ascii="Bryant Pro Medium" w:eastAsiaTheme="majorEastAsia" w:hAnsi="Bryant Pro Medium" w:cstheme="majorBidi"/>
      <w:bCs/>
      <w:color w:val="5BC6E8" w:themeColor="accent1"/>
      <w:sz w:val="20"/>
    </w:rPr>
  </w:style>
  <w:style w:type="paragraph" w:customStyle="1" w:styleId="Margin">
    <w:name w:val="Margin"/>
    <w:basedOn w:val="Normal"/>
    <w:rsid w:val="00E64A47"/>
  </w:style>
  <w:style w:type="character" w:customStyle="1" w:styleId="BodyTextChar">
    <w:name w:val="Body Text Char"/>
    <w:basedOn w:val="DefaultParagraphFont"/>
    <w:link w:val="BodyText"/>
    <w:uiPriority w:val="99"/>
    <w:rsid w:val="00813E9A"/>
    <w:rPr>
      <w:rFonts w:ascii="Bryant Pro Regular" w:hAnsi="Bryant Pro Regular"/>
      <w:sz w:val="20"/>
    </w:rPr>
  </w:style>
  <w:style w:type="character" w:customStyle="1" w:styleId="Heading4Char">
    <w:name w:val="Heading 4 Char"/>
    <w:basedOn w:val="DefaultParagraphFont"/>
    <w:link w:val="Heading4"/>
    <w:uiPriority w:val="9"/>
    <w:rsid w:val="00813E9A"/>
    <w:rPr>
      <w:rFonts w:ascii="Bryant Pro Regular" w:eastAsiaTheme="majorEastAsia" w:hAnsi="Bryant Pro Regular" w:cstheme="majorBidi"/>
      <w:bCs/>
      <w:iCs/>
      <w:color w:val="5BC6E8" w:themeColor="accent1"/>
    </w:rPr>
  </w:style>
  <w:style w:type="paragraph" w:styleId="ListBullet">
    <w:name w:val="List Bullet"/>
    <w:basedOn w:val="Normal"/>
    <w:uiPriority w:val="99"/>
    <w:unhideWhenUsed/>
    <w:rsid w:val="00440CE1"/>
    <w:pPr>
      <w:numPr>
        <w:numId w:val="2"/>
      </w:numPr>
      <w:contextualSpacing/>
    </w:pPr>
  </w:style>
  <w:style w:type="paragraph" w:styleId="ListNumber">
    <w:name w:val="List Number"/>
    <w:basedOn w:val="Normal"/>
    <w:uiPriority w:val="99"/>
    <w:unhideWhenUsed/>
    <w:rsid w:val="00440CE1"/>
    <w:pPr>
      <w:numPr>
        <w:numId w:val="3"/>
      </w:numPr>
      <w:contextualSpacing/>
    </w:pPr>
  </w:style>
  <w:style w:type="paragraph" w:customStyle="1" w:styleId="Bullet1">
    <w:name w:val="Bullet 1"/>
    <w:basedOn w:val="BodyText"/>
    <w:rsid w:val="00D2264E"/>
    <w:pPr>
      <w:numPr>
        <w:numId w:val="5"/>
      </w:numPr>
      <w:ind w:left="426" w:hanging="426"/>
    </w:pPr>
  </w:style>
  <w:style w:type="paragraph" w:customStyle="1" w:styleId="Bullet1indented">
    <w:name w:val="Bullet 1 (indented)"/>
    <w:basedOn w:val="BodyText"/>
    <w:qFormat/>
    <w:rsid w:val="0001361C"/>
    <w:pPr>
      <w:numPr>
        <w:numId w:val="6"/>
      </w:numPr>
      <w:ind w:left="851" w:hanging="284"/>
    </w:pPr>
  </w:style>
  <w:style w:type="paragraph" w:customStyle="1" w:styleId="Bullet2">
    <w:name w:val="Bullet 2"/>
    <w:basedOn w:val="Bullet1indented"/>
    <w:qFormat/>
    <w:rsid w:val="00D2264E"/>
    <w:pPr>
      <w:numPr>
        <w:numId w:val="7"/>
      </w:numPr>
      <w:ind w:left="1276" w:hanging="436"/>
    </w:pPr>
  </w:style>
  <w:style w:type="paragraph" w:customStyle="1" w:styleId="PARAGRAPHHEADER">
    <w:name w:val="PARAGRAPH HEADER"/>
    <w:basedOn w:val="BodyText"/>
    <w:qFormat/>
    <w:rsid w:val="0001361C"/>
    <w:pPr>
      <w:spacing w:before="120" w:line="240" w:lineRule="auto"/>
    </w:pPr>
    <w:rPr>
      <w:b/>
      <w:color w:val="5BC6E8" w:themeColor="accent1"/>
    </w:rPr>
  </w:style>
  <w:style w:type="paragraph" w:customStyle="1" w:styleId="ListNumber1">
    <w:name w:val="List Number 1"/>
    <w:basedOn w:val="Bullet1"/>
    <w:qFormat/>
    <w:rsid w:val="00813E9A"/>
    <w:pPr>
      <w:numPr>
        <w:numId w:val="4"/>
      </w:numPr>
      <w:ind w:left="1134" w:hanging="567"/>
    </w:pPr>
  </w:style>
  <w:style w:type="paragraph" w:customStyle="1" w:styleId="ListNumber2">
    <w:name w:val="List Number 2'"/>
    <w:basedOn w:val="Bullet1"/>
    <w:qFormat/>
    <w:rsid w:val="00813E9A"/>
    <w:pPr>
      <w:numPr>
        <w:ilvl w:val="1"/>
        <w:numId w:val="4"/>
      </w:numPr>
      <w:ind w:left="1701" w:hanging="567"/>
    </w:pPr>
  </w:style>
  <w:style w:type="paragraph" w:customStyle="1" w:styleId="ListNumberthree">
    <w:name w:val="List Number three"/>
    <w:basedOn w:val="Bullet1"/>
    <w:qFormat/>
    <w:rsid w:val="00813E9A"/>
    <w:pPr>
      <w:numPr>
        <w:ilvl w:val="2"/>
        <w:numId w:val="4"/>
      </w:numPr>
      <w:ind w:left="2268" w:hanging="567"/>
    </w:pPr>
  </w:style>
  <w:style w:type="paragraph" w:customStyle="1" w:styleId="ListNumberFour">
    <w:name w:val="List Number Four"/>
    <w:basedOn w:val="ListNumberthree"/>
    <w:rsid w:val="00D2264E"/>
    <w:pPr>
      <w:numPr>
        <w:ilvl w:val="3"/>
      </w:numPr>
      <w:ind w:left="2694" w:hanging="993"/>
    </w:pPr>
    <w:rPr>
      <w:color w:val="5BC6E8" w:themeColor="accent1"/>
    </w:rPr>
  </w:style>
  <w:style w:type="table" w:styleId="TableGrid">
    <w:name w:val="Table Grid"/>
    <w:basedOn w:val="TableNormal"/>
    <w:uiPriority w:val="59"/>
    <w:rsid w:val="00762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628C9"/>
    <w:pPr>
      <w:spacing w:after="0" w:line="240" w:lineRule="auto"/>
    </w:pPr>
    <w:tblPr>
      <w:tblStyleRowBandSize w:val="1"/>
      <w:tblStyleColBandSize w:val="1"/>
      <w:tblBorders>
        <w:top w:val="single" w:sz="4" w:space="0" w:color="B0E3F3" w:themeColor="accent5" w:themeTint="99"/>
        <w:left w:val="single" w:sz="4" w:space="0" w:color="B0E3F3" w:themeColor="accent5" w:themeTint="99"/>
        <w:bottom w:val="single" w:sz="4" w:space="0" w:color="B0E3F3" w:themeColor="accent5" w:themeTint="99"/>
        <w:right w:val="single" w:sz="4" w:space="0" w:color="B0E3F3" w:themeColor="accent5" w:themeTint="99"/>
        <w:insideH w:val="single" w:sz="4" w:space="0" w:color="B0E3F3" w:themeColor="accent5" w:themeTint="99"/>
        <w:insideV w:val="single" w:sz="4" w:space="0" w:color="B0E3F3" w:themeColor="accent5" w:themeTint="99"/>
      </w:tblBorders>
    </w:tblPr>
    <w:tblStylePr w:type="firstRow">
      <w:rPr>
        <w:b/>
        <w:bCs/>
        <w:color w:val="FFFFFF" w:themeColor="background1"/>
      </w:rPr>
      <w:tblPr/>
      <w:tcPr>
        <w:tcBorders>
          <w:top w:val="single" w:sz="4" w:space="0" w:color="7CD1EC" w:themeColor="accent5"/>
          <w:left w:val="single" w:sz="4" w:space="0" w:color="7CD1EC" w:themeColor="accent5"/>
          <w:bottom w:val="single" w:sz="4" w:space="0" w:color="7CD1EC" w:themeColor="accent5"/>
          <w:right w:val="single" w:sz="4" w:space="0" w:color="7CD1EC" w:themeColor="accent5"/>
          <w:insideH w:val="nil"/>
          <w:insideV w:val="nil"/>
        </w:tcBorders>
        <w:shd w:val="clear" w:color="auto" w:fill="7CD1EC" w:themeFill="accent5"/>
      </w:tcPr>
    </w:tblStylePr>
    <w:tblStylePr w:type="lastRow">
      <w:rPr>
        <w:b/>
        <w:bCs/>
      </w:rPr>
      <w:tblPr/>
      <w:tcPr>
        <w:tcBorders>
          <w:top w:val="double" w:sz="4" w:space="0" w:color="7CD1EC" w:themeColor="accent5"/>
        </w:tcBorders>
      </w:tcPr>
    </w:tblStylePr>
    <w:tblStylePr w:type="firstCol">
      <w:rPr>
        <w:b/>
        <w:bCs/>
      </w:rPr>
    </w:tblStylePr>
    <w:tblStylePr w:type="lastCol">
      <w:rPr>
        <w:b/>
        <w:bCs/>
      </w:rPr>
    </w:tblStylePr>
    <w:tblStylePr w:type="band1Vert">
      <w:tblPr/>
      <w:tcPr>
        <w:shd w:val="clear" w:color="auto" w:fill="E4F5FB" w:themeFill="accent5" w:themeFillTint="33"/>
      </w:tcPr>
    </w:tblStylePr>
    <w:tblStylePr w:type="band1Horz">
      <w:tblPr/>
      <w:tcPr>
        <w:shd w:val="clear" w:color="auto" w:fill="E4F5FB" w:themeFill="accent5" w:themeFillTint="33"/>
      </w:tcPr>
    </w:tblStylePr>
  </w:style>
  <w:style w:type="table" w:styleId="GridTable4-Accent1">
    <w:name w:val="Grid Table 4 Accent 1"/>
    <w:basedOn w:val="TableNormal"/>
    <w:uiPriority w:val="49"/>
    <w:rsid w:val="009B5618"/>
    <w:pPr>
      <w:spacing w:after="0" w:line="240" w:lineRule="auto"/>
    </w:pPr>
    <w:tblPr>
      <w:tblStyleRowBandSize w:val="1"/>
      <w:tblStyleColBandSize w:val="1"/>
      <w:tblBorders>
        <w:top w:val="single" w:sz="4" w:space="0" w:color="9CDCF1" w:themeColor="accent1" w:themeTint="99"/>
        <w:left w:val="single" w:sz="4" w:space="0" w:color="9CDCF1" w:themeColor="accent1" w:themeTint="99"/>
        <w:bottom w:val="single" w:sz="4" w:space="0" w:color="9CDCF1" w:themeColor="accent1" w:themeTint="99"/>
        <w:right w:val="single" w:sz="4" w:space="0" w:color="9CDCF1" w:themeColor="accent1" w:themeTint="99"/>
        <w:insideH w:val="single" w:sz="4" w:space="0" w:color="9CDCF1" w:themeColor="accent1" w:themeTint="99"/>
        <w:insideV w:val="single" w:sz="4" w:space="0" w:color="9CDCF1" w:themeColor="accent1" w:themeTint="99"/>
      </w:tblBorders>
    </w:tblPr>
    <w:tblStylePr w:type="firstRow">
      <w:rPr>
        <w:b/>
        <w:bCs/>
        <w:color w:val="FFFFFF" w:themeColor="background1"/>
      </w:rPr>
      <w:tblPr/>
      <w:tcPr>
        <w:tcBorders>
          <w:top w:val="single" w:sz="4" w:space="0" w:color="5BC6E8" w:themeColor="accent1"/>
          <w:left w:val="single" w:sz="4" w:space="0" w:color="5BC6E8" w:themeColor="accent1"/>
          <w:bottom w:val="single" w:sz="4" w:space="0" w:color="5BC6E8" w:themeColor="accent1"/>
          <w:right w:val="single" w:sz="4" w:space="0" w:color="5BC6E8" w:themeColor="accent1"/>
          <w:insideH w:val="nil"/>
          <w:insideV w:val="nil"/>
        </w:tcBorders>
        <w:shd w:val="clear" w:color="auto" w:fill="5BC6E8" w:themeFill="accent1"/>
      </w:tcPr>
    </w:tblStylePr>
    <w:tblStylePr w:type="lastRow">
      <w:rPr>
        <w:b/>
        <w:bCs/>
      </w:rPr>
      <w:tblPr/>
      <w:tcPr>
        <w:tcBorders>
          <w:top w:val="double" w:sz="4" w:space="0" w:color="5BC6E8" w:themeColor="accent1"/>
        </w:tcBorders>
      </w:tcPr>
    </w:tblStylePr>
    <w:tblStylePr w:type="firstCol">
      <w:rPr>
        <w:b/>
        <w:bCs/>
      </w:rPr>
    </w:tblStylePr>
    <w:tblStylePr w:type="lastCol">
      <w:rPr>
        <w:b/>
        <w:bCs/>
      </w:rPr>
    </w:tblStylePr>
    <w:tblStylePr w:type="band1Vert">
      <w:tblPr/>
      <w:tcPr>
        <w:shd w:val="clear" w:color="auto" w:fill="DDF3FA" w:themeFill="accent1" w:themeFillTint="33"/>
      </w:tcPr>
    </w:tblStylePr>
    <w:tblStylePr w:type="band1Horz">
      <w:tblPr/>
      <w:tcPr>
        <w:shd w:val="clear" w:color="auto" w:fill="DDF3FA" w:themeFill="accent1" w:themeFillTint="33"/>
      </w:tcPr>
    </w:tblStylePr>
  </w:style>
  <w:style w:type="table" w:customStyle="1" w:styleId="SynlaitBoardPaperTableTemplate">
    <w:name w:val="Synlait Board Paper Table Template"/>
    <w:basedOn w:val="GridTable4-Accent5"/>
    <w:uiPriority w:val="99"/>
    <w:rsid w:val="00573FEE"/>
    <w:pPr>
      <w:spacing w:before="60" w:after="60"/>
    </w:pPr>
    <w:rPr>
      <w:rFonts w:ascii="Arial" w:hAnsi="Arial"/>
      <w:sz w:val="18"/>
    </w:rPr>
    <w:tblPr>
      <w:tblStyleColBandSize w:val="0"/>
      <w:tblCellMar>
        <w:top w:w="28" w:type="dxa"/>
        <w:bottom w:w="28" w:type="dxa"/>
      </w:tblCellMar>
    </w:tblPr>
    <w:tblStylePr w:type="firstRow">
      <w:rPr>
        <w:b/>
        <w:bCs/>
        <w:color w:val="FFFFFF" w:themeColor="background1"/>
      </w:rPr>
      <w:tblPr/>
      <w:tcPr>
        <w:tcBorders>
          <w:top w:val="single" w:sz="4" w:space="0" w:color="7CD1EC" w:themeColor="accent5"/>
          <w:left w:val="single" w:sz="4" w:space="0" w:color="7CD1EC" w:themeColor="accent5"/>
          <w:bottom w:val="single" w:sz="4" w:space="0" w:color="7CD1EC" w:themeColor="accent5"/>
          <w:right w:val="single" w:sz="4" w:space="0" w:color="7CD1EC" w:themeColor="accent5"/>
          <w:insideH w:val="nil"/>
          <w:insideV w:val="nil"/>
        </w:tcBorders>
        <w:shd w:val="clear" w:color="auto" w:fill="7CD1EC" w:themeFill="accent5"/>
      </w:tcPr>
    </w:tblStylePr>
    <w:tblStylePr w:type="lastRow">
      <w:rPr>
        <w:b/>
        <w:bCs/>
      </w:rPr>
      <w:tblPr/>
      <w:tcPr>
        <w:tcBorders>
          <w:top w:val="double" w:sz="4" w:space="0" w:color="7CD1EC" w:themeColor="accent5"/>
        </w:tcBorders>
      </w:tcPr>
    </w:tblStylePr>
    <w:tblStylePr w:type="firstCol">
      <w:rPr>
        <w:rFonts w:ascii="Arial" w:hAnsi="Arial"/>
        <w:b w:val="0"/>
        <w:bCs/>
        <w:sz w:val="18"/>
      </w:rPr>
    </w:tblStylePr>
    <w:tblStylePr w:type="lastCol">
      <w:rPr>
        <w:rFonts w:ascii="Arial" w:hAnsi="Arial"/>
        <w:b w:val="0"/>
        <w:bCs/>
        <w:sz w:val="18"/>
        <w:u w:val="none"/>
      </w:rPr>
    </w:tblStylePr>
    <w:tblStylePr w:type="band1Vert">
      <w:tblPr/>
      <w:tcPr>
        <w:shd w:val="clear" w:color="auto" w:fill="E4F5FB" w:themeFill="accent5" w:themeFillTint="33"/>
      </w:tcPr>
    </w:tblStylePr>
    <w:tblStylePr w:type="band1Horz">
      <w:tblPr/>
      <w:tcPr>
        <w:shd w:val="clear" w:color="auto" w:fill="E4F5FB" w:themeFill="accent5" w:themeFillTint="33"/>
      </w:tcPr>
    </w:tblStylePr>
  </w:style>
  <w:style w:type="table" w:styleId="ListTable3-Accent5">
    <w:name w:val="List Table 3 Accent 5"/>
    <w:basedOn w:val="TableNormal"/>
    <w:uiPriority w:val="48"/>
    <w:rsid w:val="0010310E"/>
    <w:pPr>
      <w:spacing w:after="0" w:line="240" w:lineRule="auto"/>
    </w:pPr>
    <w:tblPr>
      <w:tblStyleRowBandSize w:val="1"/>
      <w:tblStyleColBandSize w:val="1"/>
      <w:tblBorders>
        <w:top w:val="single" w:sz="4" w:space="0" w:color="7CD1EC" w:themeColor="accent5"/>
        <w:left w:val="single" w:sz="4" w:space="0" w:color="7CD1EC" w:themeColor="accent5"/>
        <w:bottom w:val="single" w:sz="4" w:space="0" w:color="7CD1EC" w:themeColor="accent5"/>
        <w:right w:val="single" w:sz="4" w:space="0" w:color="7CD1EC" w:themeColor="accent5"/>
      </w:tblBorders>
    </w:tblPr>
    <w:tblStylePr w:type="firstRow">
      <w:rPr>
        <w:b/>
        <w:bCs/>
        <w:color w:val="FFFFFF" w:themeColor="background1"/>
      </w:rPr>
      <w:tblPr/>
      <w:tcPr>
        <w:shd w:val="clear" w:color="auto" w:fill="7CD1EC" w:themeFill="accent5"/>
      </w:tcPr>
    </w:tblStylePr>
    <w:tblStylePr w:type="lastRow">
      <w:rPr>
        <w:b/>
        <w:bCs/>
      </w:rPr>
      <w:tblPr/>
      <w:tcPr>
        <w:tcBorders>
          <w:top w:val="double" w:sz="4" w:space="0" w:color="7CD1E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D1EC" w:themeColor="accent5"/>
          <w:right w:val="single" w:sz="4" w:space="0" w:color="7CD1EC" w:themeColor="accent5"/>
        </w:tcBorders>
      </w:tcPr>
    </w:tblStylePr>
    <w:tblStylePr w:type="band1Horz">
      <w:tblPr/>
      <w:tcPr>
        <w:tcBorders>
          <w:top w:val="single" w:sz="4" w:space="0" w:color="7CD1EC" w:themeColor="accent5"/>
          <w:bottom w:val="single" w:sz="4" w:space="0" w:color="7CD1E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D1EC" w:themeColor="accent5"/>
          <w:left w:val="nil"/>
        </w:tcBorders>
      </w:tcPr>
    </w:tblStylePr>
    <w:tblStylePr w:type="swCell">
      <w:tblPr/>
      <w:tcPr>
        <w:tcBorders>
          <w:top w:val="double" w:sz="4" w:space="0" w:color="7CD1EC" w:themeColor="accent5"/>
          <w:right w:val="nil"/>
        </w:tcBorders>
      </w:tcPr>
    </w:tblStylePr>
  </w:style>
  <w:style w:type="table" w:styleId="ListTable3-Accent1">
    <w:name w:val="List Table 3 Accent 1"/>
    <w:basedOn w:val="TableNormal"/>
    <w:uiPriority w:val="48"/>
    <w:rsid w:val="00D53E8D"/>
    <w:pPr>
      <w:spacing w:after="0" w:line="240" w:lineRule="auto"/>
    </w:pPr>
    <w:tblPr>
      <w:tblStyleRowBandSize w:val="1"/>
      <w:tblStyleColBandSize w:val="1"/>
      <w:tblBorders>
        <w:top w:val="single" w:sz="4" w:space="0" w:color="5BC6E8" w:themeColor="accent1"/>
        <w:left w:val="single" w:sz="4" w:space="0" w:color="5BC6E8" w:themeColor="accent1"/>
        <w:bottom w:val="single" w:sz="4" w:space="0" w:color="5BC6E8" w:themeColor="accent1"/>
        <w:right w:val="single" w:sz="4" w:space="0" w:color="5BC6E8" w:themeColor="accent1"/>
      </w:tblBorders>
    </w:tblPr>
    <w:tblStylePr w:type="firstRow">
      <w:rPr>
        <w:b/>
        <w:bCs/>
        <w:color w:val="FFFFFF" w:themeColor="background1"/>
      </w:rPr>
      <w:tblPr/>
      <w:tcPr>
        <w:shd w:val="clear" w:color="auto" w:fill="5BC6E8" w:themeFill="accent1"/>
      </w:tcPr>
    </w:tblStylePr>
    <w:tblStylePr w:type="lastRow">
      <w:rPr>
        <w:b/>
        <w:bCs/>
      </w:rPr>
      <w:tblPr/>
      <w:tcPr>
        <w:tcBorders>
          <w:top w:val="double" w:sz="4" w:space="0" w:color="5BC6E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C6E8" w:themeColor="accent1"/>
          <w:right w:val="single" w:sz="4" w:space="0" w:color="5BC6E8" w:themeColor="accent1"/>
        </w:tcBorders>
      </w:tcPr>
    </w:tblStylePr>
    <w:tblStylePr w:type="band1Horz">
      <w:tblPr/>
      <w:tcPr>
        <w:tcBorders>
          <w:top w:val="single" w:sz="4" w:space="0" w:color="5BC6E8" w:themeColor="accent1"/>
          <w:bottom w:val="single" w:sz="4" w:space="0" w:color="5BC6E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C6E8" w:themeColor="accent1"/>
          <w:left w:val="nil"/>
        </w:tcBorders>
      </w:tcPr>
    </w:tblStylePr>
    <w:tblStylePr w:type="swCell">
      <w:tblPr/>
      <w:tcPr>
        <w:tcBorders>
          <w:top w:val="double" w:sz="4" w:space="0" w:color="5BC6E8" w:themeColor="accent1"/>
          <w:right w:val="nil"/>
        </w:tcBorders>
      </w:tcPr>
    </w:tblStylePr>
  </w:style>
  <w:style w:type="table" w:styleId="ListTable4-Accent1">
    <w:name w:val="List Table 4 Accent 1"/>
    <w:basedOn w:val="TableNormal"/>
    <w:uiPriority w:val="49"/>
    <w:rsid w:val="00D53E8D"/>
    <w:pPr>
      <w:spacing w:after="0" w:line="240" w:lineRule="auto"/>
    </w:pPr>
    <w:tblPr>
      <w:tblStyleRowBandSize w:val="1"/>
      <w:tblStyleColBandSize w:val="1"/>
      <w:tblBorders>
        <w:top w:val="single" w:sz="4" w:space="0" w:color="9CDCF1" w:themeColor="accent1" w:themeTint="99"/>
        <w:left w:val="single" w:sz="4" w:space="0" w:color="9CDCF1" w:themeColor="accent1" w:themeTint="99"/>
        <w:bottom w:val="single" w:sz="4" w:space="0" w:color="9CDCF1" w:themeColor="accent1" w:themeTint="99"/>
        <w:right w:val="single" w:sz="4" w:space="0" w:color="9CDCF1" w:themeColor="accent1" w:themeTint="99"/>
        <w:insideH w:val="single" w:sz="4" w:space="0" w:color="9CDCF1" w:themeColor="accent1" w:themeTint="99"/>
      </w:tblBorders>
    </w:tblPr>
    <w:tblStylePr w:type="firstRow">
      <w:rPr>
        <w:b/>
        <w:bCs/>
        <w:color w:val="FFFFFF" w:themeColor="background1"/>
      </w:rPr>
      <w:tblPr/>
      <w:tcPr>
        <w:tcBorders>
          <w:top w:val="single" w:sz="4" w:space="0" w:color="5BC6E8" w:themeColor="accent1"/>
          <w:left w:val="single" w:sz="4" w:space="0" w:color="5BC6E8" w:themeColor="accent1"/>
          <w:bottom w:val="single" w:sz="4" w:space="0" w:color="5BC6E8" w:themeColor="accent1"/>
          <w:right w:val="single" w:sz="4" w:space="0" w:color="5BC6E8" w:themeColor="accent1"/>
          <w:insideH w:val="nil"/>
        </w:tcBorders>
        <w:shd w:val="clear" w:color="auto" w:fill="5BC6E8" w:themeFill="accent1"/>
      </w:tcPr>
    </w:tblStylePr>
    <w:tblStylePr w:type="lastRow">
      <w:rPr>
        <w:b/>
        <w:bCs/>
      </w:rPr>
      <w:tblPr/>
      <w:tcPr>
        <w:tcBorders>
          <w:top w:val="double" w:sz="4" w:space="0" w:color="9CDCF1" w:themeColor="accent1" w:themeTint="99"/>
        </w:tcBorders>
      </w:tcPr>
    </w:tblStylePr>
    <w:tblStylePr w:type="firstCol">
      <w:rPr>
        <w:b/>
        <w:bCs/>
      </w:rPr>
    </w:tblStylePr>
    <w:tblStylePr w:type="lastCol">
      <w:rPr>
        <w:b/>
        <w:bCs/>
      </w:rPr>
    </w:tblStylePr>
    <w:tblStylePr w:type="band1Vert">
      <w:tblPr/>
      <w:tcPr>
        <w:shd w:val="clear" w:color="auto" w:fill="DDF3FA" w:themeFill="accent1" w:themeFillTint="33"/>
      </w:tcPr>
    </w:tblStylePr>
    <w:tblStylePr w:type="band1Horz">
      <w:tblPr/>
      <w:tcPr>
        <w:shd w:val="clear" w:color="auto" w:fill="DDF3FA" w:themeFill="accent1" w:themeFillTint="33"/>
      </w:tcPr>
    </w:tblStylePr>
  </w:style>
  <w:style w:type="table" w:styleId="ListTable4-Accent5">
    <w:name w:val="List Table 4 Accent 5"/>
    <w:basedOn w:val="TableNormal"/>
    <w:uiPriority w:val="49"/>
    <w:rsid w:val="00D53E8D"/>
    <w:pPr>
      <w:spacing w:after="0" w:line="240" w:lineRule="auto"/>
    </w:pPr>
    <w:tblPr>
      <w:tblStyleRowBandSize w:val="1"/>
      <w:tblStyleColBandSize w:val="1"/>
      <w:tblBorders>
        <w:top w:val="single" w:sz="4" w:space="0" w:color="B0E3F3" w:themeColor="accent5" w:themeTint="99"/>
        <w:left w:val="single" w:sz="4" w:space="0" w:color="B0E3F3" w:themeColor="accent5" w:themeTint="99"/>
        <w:bottom w:val="single" w:sz="4" w:space="0" w:color="B0E3F3" w:themeColor="accent5" w:themeTint="99"/>
        <w:right w:val="single" w:sz="4" w:space="0" w:color="B0E3F3" w:themeColor="accent5" w:themeTint="99"/>
        <w:insideH w:val="single" w:sz="4" w:space="0" w:color="B0E3F3" w:themeColor="accent5" w:themeTint="99"/>
      </w:tblBorders>
    </w:tblPr>
    <w:tblStylePr w:type="firstRow">
      <w:rPr>
        <w:b/>
        <w:bCs/>
        <w:color w:val="FFFFFF" w:themeColor="background1"/>
      </w:rPr>
      <w:tblPr/>
      <w:tcPr>
        <w:tcBorders>
          <w:top w:val="single" w:sz="4" w:space="0" w:color="7CD1EC" w:themeColor="accent5"/>
          <w:left w:val="single" w:sz="4" w:space="0" w:color="7CD1EC" w:themeColor="accent5"/>
          <w:bottom w:val="single" w:sz="4" w:space="0" w:color="7CD1EC" w:themeColor="accent5"/>
          <w:right w:val="single" w:sz="4" w:space="0" w:color="7CD1EC" w:themeColor="accent5"/>
          <w:insideH w:val="nil"/>
        </w:tcBorders>
        <w:shd w:val="clear" w:color="auto" w:fill="7CD1EC" w:themeFill="accent5"/>
      </w:tcPr>
    </w:tblStylePr>
    <w:tblStylePr w:type="lastRow">
      <w:rPr>
        <w:b/>
        <w:bCs/>
      </w:rPr>
      <w:tblPr/>
      <w:tcPr>
        <w:tcBorders>
          <w:top w:val="double" w:sz="4" w:space="0" w:color="B0E3F3" w:themeColor="accent5" w:themeTint="99"/>
        </w:tcBorders>
      </w:tcPr>
    </w:tblStylePr>
    <w:tblStylePr w:type="firstCol">
      <w:rPr>
        <w:b/>
        <w:bCs/>
      </w:rPr>
    </w:tblStylePr>
    <w:tblStylePr w:type="lastCol">
      <w:rPr>
        <w:b/>
        <w:bCs/>
      </w:rPr>
    </w:tblStylePr>
    <w:tblStylePr w:type="band1Vert">
      <w:tblPr/>
      <w:tcPr>
        <w:shd w:val="clear" w:color="auto" w:fill="E4F5FB" w:themeFill="accent5" w:themeFillTint="33"/>
      </w:tcPr>
    </w:tblStylePr>
    <w:tblStylePr w:type="band1Horz">
      <w:tblPr/>
      <w:tcPr>
        <w:shd w:val="clear" w:color="auto" w:fill="E4F5FB" w:themeFill="accent5" w:themeFillTint="33"/>
      </w:tcPr>
    </w:tblStylePr>
  </w:style>
  <w:style w:type="table" w:styleId="ListTable5Dark-Accent4">
    <w:name w:val="List Table 5 Dark Accent 4"/>
    <w:basedOn w:val="TableNormal"/>
    <w:uiPriority w:val="50"/>
    <w:rsid w:val="00D53E8D"/>
    <w:pPr>
      <w:spacing w:after="0" w:line="240" w:lineRule="auto"/>
    </w:pPr>
    <w:rPr>
      <w:color w:val="FFFFFF" w:themeColor="background1"/>
    </w:rPr>
    <w:tblPr>
      <w:tblStyleRowBandSize w:val="1"/>
      <w:tblStyleColBandSize w:val="1"/>
      <w:tblBorders>
        <w:top w:val="single" w:sz="24" w:space="0" w:color="34B233" w:themeColor="accent4"/>
        <w:left w:val="single" w:sz="24" w:space="0" w:color="34B233" w:themeColor="accent4"/>
        <w:bottom w:val="single" w:sz="24" w:space="0" w:color="34B233" w:themeColor="accent4"/>
        <w:right w:val="single" w:sz="24" w:space="0" w:color="34B233" w:themeColor="accent4"/>
      </w:tblBorders>
    </w:tblPr>
    <w:tcPr>
      <w:shd w:val="clear" w:color="auto" w:fill="34B23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Heading5Char">
    <w:name w:val="Heading 5 Char"/>
    <w:basedOn w:val="DefaultParagraphFont"/>
    <w:link w:val="Heading5"/>
    <w:uiPriority w:val="9"/>
    <w:rsid w:val="00813E9A"/>
    <w:rPr>
      <w:rFonts w:ascii="Bryant Pro Regular" w:eastAsiaTheme="majorEastAsia" w:hAnsi="Bryant Pro Regular" w:cstheme="majorBidi"/>
      <w:color w:val="1DA7D3" w:themeColor="accent1" w:themeShade="BF"/>
      <w:sz w:val="20"/>
    </w:rPr>
  </w:style>
  <w:style w:type="numbering" w:customStyle="1" w:styleId="SynliatBullet">
    <w:name w:val="Synliat Bullet"/>
    <w:uiPriority w:val="99"/>
    <w:rsid w:val="000B402E"/>
    <w:pPr>
      <w:numPr>
        <w:numId w:val="9"/>
      </w:numPr>
    </w:pPr>
  </w:style>
  <w:style w:type="table" w:styleId="LightList-Accent1">
    <w:name w:val="Light List Accent 1"/>
    <w:basedOn w:val="TableNormal"/>
    <w:uiPriority w:val="61"/>
    <w:rsid w:val="000B402E"/>
    <w:pPr>
      <w:spacing w:before="40" w:after="4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pPr>
        <w:spacing w:before="0" w:after="0" w:line="240" w:lineRule="auto"/>
      </w:pPr>
      <w:rPr>
        <w:rFonts w:asciiTheme="minorHAnsi" w:hAnsiTheme="minorHAnsi"/>
        <w:b/>
        <w:bCs/>
        <w:color w:val="FFFFFF" w:themeColor="background1"/>
      </w:rPr>
      <w:tblPr/>
      <w:tcPr>
        <w:shd w:val="clear" w:color="auto" w:fill="5BC6E8" w:themeFill="accent1"/>
      </w:tcPr>
    </w:tblStylePr>
    <w:tblStylePr w:type="lastRow">
      <w:pPr>
        <w:spacing w:before="0" w:after="0" w:line="240" w:lineRule="auto"/>
      </w:pPr>
      <w:rPr>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tcBorders>
      </w:tcPr>
    </w:tblStylePr>
    <w:tblStylePr w:type="firstCol">
      <w:rPr>
        <w:b/>
        <w:bCs/>
      </w:rPr>
    </w:tblStylePr>
    <w:tblStylePr w:type="lastCol">
      <w:rPr>
        <w:b/>
        <w:bCs/>
      </w:r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style>
  <w:style w:type="numbering" w:customStyle="1" w:styleId="SynliatBullet1">
    <w:name w:val="Synliat Bullet1"/>
    <w:uiPriority w:val="99"/>
    <w:rsid w:val="000B402E"/>
  </w:style>
  <w:style w:type="paragraph" w:styleId="ListParagraph">
    <w:name w:val="List Paragraph"/>
    <w:basedOn w:val="Normal"/>
    <w:uiPriority w:val="34"/>
    <w:rsid w:val="00B11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ones\Documents\Synlait%20Templates\Numbered%20Long%20Document.dotx" TargetMode="External"/></Relationships>
</file>

<file path=word/theme/theme1.xml><?xml version="1.0" encoding="utf-8"?>
<a:theme xmlns:a="http://schemas.openxmlformats.org/drawingml/2006/main" name="Synlait">
  <a:themeElements>
    <a:clrScheme name="Synlait">
      <a:dk1>
        <a:srgbClr val="939393"/>
      </a:dk1>
      <a:lt1>
        <a:sysClr val="window" lastClr="FFFFFF"/>
      </a:lt1>
      <a:dk2>
        <a:srgbClr val="1F497D"/>
      </a:dk2>
      <a:lt2>
        <a:srgbClr val="EEECE1"/>
      </a:lt2>
      <a:accent1>
        <a:srgbClr val="5BC6E8"/>
      </a:accent1>
      <a:accent2>
        <a:srgbClr val="84888B"/>
      </a:accent2>
      <a:accent3>
        <a:srgbClr val="FFB612"/>
      </a:accent3>
      <a:accent4>
        <a:srgbClr val="34B233"/>
      </a:accent4>
      <a:accent5>
        <a:srgbClr val="7CD1EC"/>
      </a:accent5>
      <a:accent6>
        <a:srgbClr val="CECFD0"/>
      </a:accent6>
      <a:hlink>
        <a:srgbClr val="FFD77D"/>
      </a:hlink>
      <a:folHlink>
        <a:srgbClr val="7DD97D"/>
      </a:folHlink>
    </a:clrScheme>
    <a:fontScheme name="Synlai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093DC7E7E13B14C9A3E7EA5D0C95EAF" ma:contentTypeVersion="7" ma:contentTypeDescription="Create a new document." ma:contentTypeScope="" ma:versionID="fdd4c5c0281509fe4efc766a0053e3d7">
  <xsd:schema xmlns:xsd="http://www.w3.org/2001/XMLSchema" xmlns:xs="http://www.w3.org/2001/XMLSchema" xmlns:p="http://schemas.microsoft.com/office/2006/metadata/properties" xmlns:ns2="a88e0667-3ec1-43f8-9ae8-3ef1e8b69d10" xmlns:ns3="576b37e1-4977-409d-bcb4-d74935400a57" xmlns:ns4="http://schemas.microsoft.com/sharepoint/v4" xmlns:ns5="abf369ea-35a9-4965-ab39-3b77cc882d97" targetNamespace="http://schemas.microsoft.com/office/2006/metadata/properties" ma:root="true" ma:fieldsID="bc9dfc44889756e967408b159cfca655" ns2:_="" ns3:_="" ns4:_="" ns5:_="">
    <xsd:import namespace="a88e0667-3ec1-43f8-9ae8-3ef1e8b69d10"/>
    <xsd:import namespace="576b37e1-4977-409d-bcb4-d74935400a57"/>
    <xsd:import namespace="http://schemas.microsoft.com/sharepoint/v4"/>
    <xsd:import namespace="abf369ea-35a9-4965-ab39-3b77cc882d97"/>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IconOverlay"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e0667-3ec1-43f8-9ae8-3ef1e8b69d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6b37e1-4977-409d-bcb4-d74935400a57"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f369ea-35a9-4965-ab39-3b77cc882d9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AE515574-40B4-47AB-ADB5-174B0A858B7F}">
  <ds:schemaRefs>
    <ds:schemaRef ds:uri="http://schemas.openxmlformats.org/officeDocument/2006/bibliography"/>
  </ds:schemaRefs>
</ds:datastoreItem>
</file>

<file path=customXml/itemProps2.xml><?xml version="1.0" encoding="utf-8"?>
<ds:datastoreItem xmlns:ds="http://schemas.openxmlformats.org/officeDocument/2006/customXml" ds:itemID="{00C0EC5C-965B-47B2-854B-497E47059FEE}"/>
</file>

<file path=customXml/itemProps3.xml><?xml version="1.0" encoding="utf-8"?>
<ds:datastoreItem xmlns:ds="http://schemas.openxmlformats.org/officeDocument/2006/customXml" ds:itemID="{BAE15FC0-F3DD-4803-B42B-F577AB9BD343}"/>
</file>

<file path=customXml/itemProps4.xml><?xml version="1.0" encoding="utf-8"?>
<ds:datastoreItem xmlns:ds="http://schemas.openxmlformats.org/officeDocument/2006/customXml" ds:itemID="{CBF15989-D47E-4305-A760-4EE939528548}"/>
</file>

<file path=docProps/app.xml><?xml version="1.0" encoding="utf-8"?>
<Properties xmlns="http://schemas.openxmlformats.org/officeDocument/2006/extended-properties" xmlns:vt="http://schemas.openxmlformats.org/officeDocument/2006/docPropsVTypes">
  <Template>Numbered Long Document</Template>
  <TotalTime>79</TotalTime>
  <Pages>1</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TJones</dc:creator>
  <cp:lastModifiedBy>Chris Horn</cp:lastModifiedBy>
  <cp:revision>5</cp:revision>
  <cp:lastPrinted>2016-09-13T22:09:00Z</cp:lastPrinted>
  <dcterms:created xsi:type="dcterms:W3CDTF">2017-03-01T00:36:00Z</dcterms:created>
  <dcterms:modified xsi:type="dcterms:W3CDTF">2017-03-03T00:08:00Z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0x0101005093DC7E7E13B14C9A3E7EA5D0C95EAF</vt:lpwstr>
  </property>
</Properties>
</file>